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val="en-US" w:eastAsia="zh-CN"/>
        </w:rPr>
        <w:t>供销合作社联合社</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w:t>
      </w:r>
      <w:r>
        <w:rPr>
          <w:rFonts w:ascii="Times New Roman" w:hAnsi="Times New Roman" w:eastAsia="仿宋_GB2312" w:cs="Times New Roman"/>
          <w:sz w:val="32"/>
          <w:szCs w:val="32"/>
        </w:rPr>
        <w:t>中华人民共和国</w:t>
      </w:r>
      <w:r>
        <w:rPr>
          <w:rFonts w:hint="eastAsia" w:ascii="仿宋_GB2312" w:hAnsi="Times New Roman" w:eastAsia="仿宋_GB2312" w:cs="Times New Roman"/>
          <w:sz w:val="32"/>
          <w:szCs w:val="32"/>
        </w:rPr>
        <w:t>预算法》、</w:t>
      </w:r>
      <w:r>
        <w:rPr>
          <w:rFonts w:ascii="Times New Roman" w:hAnsi="Times New Roman" w:eastAsia="仿宋_GB2312" w:cs="Times New Roman"/>
          <w:sz w:val="32"/>
          <w:szCs w:val="32"/>
        </w:rPr>
        <w:t>《中华人民共和国预算法实施条例》</w:t>
      </w:r>
      <w:r>
        <w:rPr>
          <w:rFonts w:hint="eastAsia" w:ascii="仿宋_GB2312" w:hAnsi="Times New Roman" w:eastAsia="仿宋_GB2312" w:cs="Times New Roman"/>
          <w:sz w:val="32"/>
          <w:szCs w:val="32"/>
        </w:rPr>
        <w:t>、《地方预决算公开操作规程》和《河北省省级预算公开办法》规定，现将</w:t>
      </w:r>
      <w:r>
        <w:rPr>
          <w:rFonts w:hint="eastAsia" w:ascii="仿宋_GB2312" w:hAnsi="Times New Roman" w:eastAsia="仿宋_GB2312" w:cs="Times New Roman"/>
          <w:sz w:val="32"/>
          <w:szCs w:val="32"/>
          <w:lang w:val="en-US" w:eastAsia="zh-CN"/>
        </w:rPr>
        <w:t>霸州市供销合作社联合社</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1、供销流通管理——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2、服务三农事务管理——强力推进和形成服务现代农业、服务农村生产生活、服务农业新型经营主体三大板块的服务格局。</w:t>
      </w:r>
    </w:p>
    <w:p>
      <w:pPr>
        <w:spacing w:line="58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、物资储备管理——根据市防汛抗旱指挥部要求，负责防汛抗旱、抢险救灾有关物资的储备、管理、供应和调拨的相关工作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储备488吨合格食盐，保障全市2个月食盐供应。</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、供销合作政务管理——完成市供销系统综合业务指标。</w:t>
      </w:r>
    </w:p>
    <w:p>
      <w:pPr>
        <w:ind w:firstLine="640" w:firstLineChars="200"/>
        <w:rPr>
          <w:rFonts w:ascii="仿宋_GB2312" w:hAnsi="Times New Roman" w:eastAsia="仿宋_GB2312" w:cs="Times New Roman"/>
          <w:color w:val="FF0000"/>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110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7"/>
        <w:gridCol w:w="1698"/>
        <w:gridCol w:w="1653"/>
        <w:gridCol w:w="43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287"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698"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65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4398"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28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6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65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3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287" w:type="dxa"/>
            <w:shd w:val="clear" w:color="auto" w:fill="auto"/>
            <w:vAlign w:val="center"/>
          </w:tcPr>
          <w:p>
            <w:pPr>
              <w:spacing w:line="300" w:lineRule="exact"/>
              <w:jc w:val="center"/>
              <w:rPr>
                <w:rFonts w:ascii="Times New Roman" w:hAnsi="Times New Roman" w:eastAsia="方正书宋_GBK" w:cstheme="minorBidi"/>
                <w:kern w:val="2"/>
                <w:sz w:val="21"/>
                <w:szCs w:val="24"/>
                <w:lang w:val="en-US" w:eastAsia="zh-CN" w:bidi="ar-SA"/>
              </w:rPr>
            </w:pPr>
            <w:r>
              <w:rPr>
                <w:rFonts w:hint="eastAsia" w:ascii="方正书宋_GBK" w:eastAsia="方正书宋_GBK"/>
              </w:rPr>
              <w:t>霸州市供销合作社联合社</w:t>
            </w:r>
          </w:p>
        </w:tc>
        <w:tc>
          <w:tcPr>
            <w:tcW w:w="1698" w:type="dxa"/>
            <w:shd w:val="clear" w:color="auto" w:fill="auto"/>
            <w:vAlign w:val="center"/>
          </w:tcPr>
          <w:p>
            <w:pPr>
              <w:spacing w:line="300" w:lineRule="exact"/>
              <w:jc w:val="center"/>
              <w:rPr>
                <w:rFonts w:hint="default" w:ascii="Times New Roman" w:hAnsi="Times New Roman" w:eastAsia="方正书宋_GBK" w:cstheme="minorBidi"/>
                <w:kern w:val="2"/>
                <w:sz w:val="21"/>
                <w:szCs w:val="24"/>
                <w:highlight w:val="cyan"/>
                <w:lang w:val="en-US" w:eastAsia="zh-CN" w:bidi="ar-SA"/>
              </w:rPr>
            </w:pPr>
            <w:r>
              <w:rPr>
                <w:rFonts w:hint="eastAsia" w:ascii="Times New Roman" w:hAnsi="Times New Roman" w:eastAsia="方正书宋_GBK" w:cstheme="minorBidi"/>
                <w:kern w:val="2"/>
                <w:sz w:val="21"/>
                <w:szCs w:val="24"/>
                <w:highlight w:val="none"/>
                <w:lang w:val="en-US" w:eastAsia="zh-CN" w:bidi="ar-SA"/>
              </w:rPr>
              <w:t>其他</w:t>
            </w:r>
          </w:p>
        </w:tc>
        <w:tc>
          <w:tcPr>
            <w:tcW w:w="1653" w:type="dxa"/>
            <w:shd w:val="clear" w:color="auto" w:fill="auto"/>
            <w:vAlign w:val="center"/>
          </w:tcPr>
          <w:p>
            <w:pPr>
              <w:spacing w:line="300" w:lineRule="exact"/>
              <w:jc w:val="center"/>
              <w:rPr>
                <w:rFonts w:ascii="Times New Roman" w:hAnsi="Times New Roman" w:eastAsia="方正书宋_GBK" w:cstheme="minorBidi"/>
                <w:kern w:val="2"/>
                <w:sz w:val="21"/>
                <w:szCs w:val="24"/>
                <w:highlight w:val="cyan"/>
                <w:lang w:val="en-US" w:eastAsia="zh-CN" w:bidi="ar-SA"/>
              </w:rPr>
            </w:pPr>
            <w:r>
              <w:rPr>
                <w:rFonts w:hint="eastAsia" w:ascii="Times New Roman" w:hAnsi="Times New Roman" w:eastAsia="方正书宋_GBK"/>
                <w:szCs w:val="24"/>
              </w:rPr>
              <w:t>正科级</w:t>
            </w:r>
          </w:p>
        </w:tc>
        <w:tc>
          <w:tcPr>
            <w:tcW w:w="4398" w:type="dxa"/>
            <w:shd w:val="clear" w:color="auto" w:fill="auto"/>
            <w:vAlign w:val="center"/>
          </w:tcPr>
          <w:p>
            <w:pPr>
              <w:spacing w:line="300" w:lineRule="exact"/>
              <w:jc w:val="center"/>
              <w:rPr>
                <w:rFonts w:hint="eastAsia" w:ascii="Times New Roman" w:hAnsi="Times New Roman" w:eastAsia="方正书宋_GBK" w:cstheme="minorBidi"/>
                <w:kern w:val="2"/>
                <w:sz w:val="21"/>
                <w:szCs w:val="24"/>
                <w:lang w:val="en-US" w:eastAsia="zh-CN" w:bidi="ar-SA"/>
              </w:rPr>
            </w:pPr>
            <w:r>
              <w:rPr>
                <w:rFonts w:hint="eastAsia" w:ascii="方正书宋_GBK" w:eastAsia="方正书宋_GBK"/>
              </w:rPr>
              <w:t>财政性资金定额或定</w:t>
            </w:r>
            <w:r>
              <w:rPr>
                <w:rFonts w:hint="eastAsia" w:ascii="方正书宋_GBK" w:eastAsia="方正书宋_GBK"/>
                <w:lang w:val="en-US" w:eastAsia="zh-CN"/>
              </w:rPr>
              <w:t>向</w:t>
            </w:r>
            <w:r>
              <w:rPr>
                <w:rFonts w:hint="eastAsia" w:ascii="方正书宋_GBK" w:eastAsia="方正书宋_GBK"/>
              </w:rPr>
              <w:t>补助</w:t>
            </w:r>
            <w:r>
              <w:rPr>
                <w:rFonts w:hint="eastAsia" w:ascii="方正书宋_GBK" w:eastAsia="方正书宋_GBK"/>
                <w:lang w:eastAsia="zh-CN"/>
              </w:rPr>
              <w:t>（</w:t>
            </w:r>
            <w:r>
              <w:rPr>
                <w:rFonts w:hint="eastAsia" w:ascii="方正书宋_GBK" w:eastAsia="方正书宋_GBK"/>
                <w:lang w:val="en-US" w:eastAsia="zh-CN"/>
              </w:rPr>
              <w:t>差额事业</w:t>
            </w:r>
            <w:r>
              <w:rPr>
                <w:rFonts w:hint="eastAsia" w:ascii="方正书宋_GBK" w:eastAsia="方正书宋_GBK"/>
                <w:lang w:eastAsia="zh-CN"/>
              </w:rPr>
              <w:t>）</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因我部门除机关外，无其他下属预算单位，部门预算即为机关预算，不再单独公开机关预算和单位预算。）</w:t>
      </w:r>
      <w:bookmarkStart w:id="7" w:name="_GoBack"/>
      <w:bookmarkEnd w:id="7"/>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719.44</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719.44</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000000" w:themeColor="text1"/>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供销合作社联合社</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719.44</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573.31</w:t>
      </w:r>
      <w:r>
        <w:rPr>
          <w:rFonts w:hint="eastAsia" w:ascii="仿宋_GB2312" w:hAnsi="Times New Roman" w:eastAsia="仿宋_GB2312" w:cs="Times New Roman"/>
          <w:sz w:val="32"/>
          <w:szCs w:val="32"/>
        </w:rPr>
        <w:t>万元，包括：人员</w:t>
      </w:r>
      <w:r>
        <w:rPr>
          <w:rFonts w:hint="eastAsia" w:ascii="仿宋_GB2312" w:hAnsi="Times New Roman" w:eastAsia="仿宋_GB2312" w:cs="Times New Roman"/>
          <w:sz w:val="32"/>
          <w:szCs w:val="32"/>
          <w:lang w:val="en-US" w:eastAsia="zh-CN"/>
        </w:rPr>
        <w:t>类项目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573.31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w:t>
      </w:r>
      <w:r>
        <w:rPr>
          <w:rFonts w:hint="eastAsia" w:ascii="仿宋_GB2312" w:hAnsi="Times New Roman" w:eastAsia="仿宋_GB2312" w:cs="Times New Roman"/>
          <w:sz w:val="32"/>
          <w:szCs w:val="32"/>
          <w:lang w:val="en-US" w:eastAsia="zh-CN"/>
        </w:rPr>
        <w:t>运转类</w:t>
      </w:r>
      <w:r>
        <w:rPr>
          <w:rFonts w:hint="eastAsia" w:ascii="仿宋_GB2312" w:hAnsi="Times New Roman" w:eastAsia="仿宋_GB2312" w:cs="Times New Roman"/>
          <w:sz w:val="32"/>
          <w:szCs w:val="32"/>
        </w:rPr>
        <w:t>公用</w:t>
      </w:r>
      <w:r>
        <w:rPr>
          <w:rFonts w:hint="eastAsia" w:ascii="仿宋_GB2312" w:hAnsi="Times New Roman" w:eastAsia="仿宋_GB2312" w:cs="Times New Roman"/>
          <w:sz w:val="32"/>
          <w:szCs w:val="32"/>
          <w:lang w:val="en-US" w:eastAsia="zh-CN"/>
        </w:rPr>
        <w:t>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themeColor="text1"/>
          <w:sz w:val="32"/>
          <w:szCs w:val="32"/>
          <w:lang w:val="en-US" w:eastAsia="zh-CN"/>
        </w:rPr>
        <w:t>运转类其他及特定目标类</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146.13</w:t>
      </w:r>
      <w:r>
        <w:rPr>
          <w:rFonts w:hint="eastAsia" w:ascii="仿宋_GB2312" w:hAnsi="Times New Roman" w:eastAsia="仿宋_GB2312" w:cs="Times New Roman"/>
          <w:color w:val="000000" w:themeColor="text1"/>
          <w:sz w:val="32"/>
          <w:szCs w:val="32"/>
        </w:rPr>
        <w:t>万元</w:t>
      </w:r>
      <w:r>
        <w:rPr>
          <w:rFonts w:hint="eastAsia" w:ascii="仿宋_GB2312" w:hAnsi="Times New Roman" w:eastAsia="仿宋_GB2312" w:cs="Times New Roman"/>
          <w:sz w:val="32"/>
          <w:szCs w:val="32"/>
        </w:rPr>
        <w:t>，全部为本级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 w:hAnsi="仿宋" w:eastAsia="仿宋" w:cs="仿宋"/>
          <w:sz w:val="32"/>
          <w:szCs w:val="32"/>
          <w:lang w:val="en-US" w:eastAsia="zh-CN"/>
        </w:rPr>
        <w:t>霸州市农村产权交易中心运转经费、市级食盐储备库运转资金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霸州市油棉厂职工2021年养老保险费用、霸州市油棉厂职工2021年医疗保险费用；</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719.44</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lang w:val="en-US" w:eastAsia="zh-CN"/>
        </w:rPr>
        <w:t>增加169.20</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val="en-US" w:eastAsia="zh-CN"/>
        </w:rPr>
        <w:t>增加98.07</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val="en-US" w:eastAsia="zh-CN"/>
        </w:rPr>
        <w:t>增加定额人员补助</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增加71.13</w:t>
      </w:r>
      <w:r>
        <w:rPr>
          <w:rFonts w:hint="eastAsia" w:ascii="仿宋_GB2312" w:hAnsi="Times New Roman" w:eastAsia="仿宋_GB2312" w:cs="Times New Roman"/>
          <w:color w:val="000000" w:themeColor="text1"/>
          <w:sz w:val="32"/>
          <w:szCs w:val="32"/>
        </w:rPr>
        <w:t>万元，主要</w:t>
      </w:r>
      <w:r>
        <w:rPr>
          <w:rFonts w:hint="eastAsia" w:ascii="仿宋_GB2312" w:hAnsi="Times New Roman" w:eastAsia="仿宋_GB2312" w:cs="Times New Roman"/>
          <w:color w:val="000000" w:themeColor="text1"/>
          <w:sz w:val="32"/>
          <w:szCs w:val="32"/>
          <w:lang w:val="en-US" w:eastAsia="zh-CN"/>
        </w:rPr>
        <w:t>为增加</w:t>
      </w:r>
      <w:r>
        <w:rPr>
          <w:rFonts w:hint="eastAsia" w:ascii="仿宋" w:hAnsi="仿宋" w:eastAsia="仿宋" w:cs="仿宋"/>
          <w:sz w:val="32"/>
          <w:szCs w:val="32"/>
          <w:lang w:val="en-US" w:eastAsia="zh-CN"/>
        </w:rPr>
        <w:t>霸州市油棉厂职工2021年养老保险费用和霸州市油棉厂职工2021年医疗保险费用</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2021年，我单位</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主要用于办公区的日常维修、办公用房水电费、办公用房取暖费、办公及印刷费，邮电费、差旅费、会议费、福利费、专用材料及一般设备购置费、办公用房物业管理费、公务用车运行维护费等日常运行支出。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霸州市供销合作社联合社</w:t>
      </w:r>
      <w:r>
        <w:rPr>
          <w:rFonts w:hint="eastAsia" w:ascii="仿宋" w:hAnsi="仿宋" w:eastAsia="仿宋" w:cs="仿宋"/>
          <w:sz w:val="32"/>
          <w:szCs w:val="32"/>
        </w:rPr>
        <w:t>财政</w:t>
      </w:r>
      <w:r>
        <w:rPr>
          <w:rFonts w:hint="eastAsia" w:ascii="仿宋" w:hAnsi="仿宋" w:eastAsia="仿宋" w:cs="仿宋"/>
          <w:sz w:val="32"/>
          <w:szCs w:val="32"/>
          <w:lang w:val="en-US" w:eastAsia="zh-CN"/>
        </w:rPr>
        <w:t>性资金为</w:t>
      </w:r>
      <w:r>
        <w:rPr>
          <w:rFonts w:hint="eastAsia" w:ascii="仿宋" w:hAnsi="仿宋" w:eastAsia="仿宋" w:cs="仿宋"/>
          <w:sz w:val="32"/>
          <w:szCs w:val="32"/>
        </w:rPr>
        <w:t>定额补助</w:t>
      </w:r>
      <w:r>
        <w:rPr>
          <w:rFonts w:hint="eastAsia" w:ascii="仿宋" w:hAnsi="仿宋" w:eastAsia="仿宋" w:cs="仿宋"/>
          <w:sz w:val="32"/>
          <w:szCs w:val="32"/>
          <w:lang w:val="en-US" w:eastAsia="zh-CN"/>
        </w:rPr>
        <w:t>事业</w:t>
      </w:r>
      <w:r>
        <w:rPr>
          <w:rFonts w:hint="eastAsia" w:ascii="仿宋" w:hAnsi="仿宋" w:eastAsia="仿宋" w:cs="仿宋"/>
          <w:sz w:val="32"/>
          <w:szCs w:val="32"/>
        </w:rPr>
        <w:t>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只拨付人员工资福利支出</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default" w:ascii="仿宋_GB2312" w:hAnsi="Times New Roman" w:eastAsia="仿宋" w:cs="Times New Roman"/>
          <w:sz w:val="32"/>
          <w:szCs w:val="32"/>
          <w:lang w:val="en-US"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w:t>
      </w:r>
      <w:r>
        <w:rPr>
          <w:rFonts w:hint="eastAsia" w:ascii="仿宋_GB2312" w:hAnsi="Times New Roman" w:eastAsia="仿宋_GB2312" w:cs="Times New Roman"/>
          <w:sz w:val="32"/>
          <w:szCs w:val="32"/>
          <w:lang w:val="en-US" w:eastAsia="zh-CN"/>
        </w:rPr>
        <w:t>持平</w:t>
      </w:r>
      <w:r>
        <w:rPr>
          <w:rFonts w:hint="eastAsia" w:ascii="仿宋_GB2312" w:hAnsi="Times New Roman" w:eastAsia="仿宋_GB2312" w:cs="Times New Roman"/>
          <w:sz w:val="32"/>
          <w:szCs w:val="32"/>
        </w:rPr>
        <w:t>，</w:t>
      </w:r>
      <w:r>
        <w:rPr>
          <w:rFonts w:hint="eastAsia" w:ascii="仿宋" w:hAnsi="仿宋" w:eastAsia="仿宋" w:cs="仿宋"/>
          <w:sz w:val="32"/>
          <w:szCs w:val="32"/>
        </w:rPr>
        <w:t>无增减变化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主要是因为</w:t>
      </w:r>
      <w:r>
        <w:rPr>
          <w:rFonts w:hint="eastAsia" w:ascii="仿宋_GB2312" w:hAnsi="Times New Roman" w:eastAsia="仿宋_GB2312" w:cs="Times New Roman"/>
          <w:sz w:val="32"/>
          <w:szCs w:val="32"/>
          <w:lang w:val="en-US" w:eastAsia="zh-CN"/>
        </w:rPr>
        <w:t>霸州市供销合作社联合社</w:t>
      </w:r>
      <w:r>
        <w:rPr>
          <w:rFonts w:hint="eastAsia" w:ascii="仿宋" w:hAnsi="仿宋" w:eastAsia="仿宋" w:cs="仿宋"/>
          <w:sz w:val="32"/>
          <w:szCs w:val="32"/>
        </w:rPr>
        <w:t>财政</w:t>
      </w:r>
      <w:r>
        <w:rPr>
          <w:rFonts w:hint="eastAsia" w:ascii="仿宋" w:hAnsi="仿宋" w:eastAsia="仿宋" w:cs="仿宋"/>
          <w:sz w:val="32"/>
          <w:szCs w:val="32"/>
          <w:lang w:val="en-US" w:eastAsia="zh-CN"/>
        </w:rPr>
        <w:t>性资金为</w:t>
      </w:r>
      <w:r>
        <w:rPr>
          <w:rFonts w:hint="eastAsia" w:ascii="仿宋" w:hAnsi="仿宋" w:eastAsia="仿宋" w:cs="仿宋"/>
          <w:sz w:val="32"/>
          <w:szCs w:val="32"/>
        </w:rPr>
        <w:t>定额补助</w:t>
      </w:r>
      <w:r>
        <w:rPr>
          <w:rFonts w:hint="eastAsia" w:ascii="仿宋" w:hAnsi="仿宋" w:eastAsia="仿宋" w:cs="仿宋"/>
          <w:sz w:val="32"/>
          <w:szCs w:val="32"/>
          <w:lang w:val="en-US" w:eastAsia="zh-CN"/>
        </w:rPr>
        <w:t>事业</w:t>
      </w:r>
      <w:r>
        <w:rPr>
          <w:rFonts w:hint="eastAsia" w:ascii="仿宋" w:hAnsi="仿宋" w:eastAsia="仿宋" w:cs="仿宋"/>
          <w:sz w:val="32"/>
          <w:szCs w:val="32"/>
        </w:rPr>
        <w:t>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只拨付人员工资福利支出。</w:t>
      </w:r>
    </w:p>
    <w:p>
      <w:p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发展生产、供销、信用“三位一体”综合合作，深化供销社综合改革，完善体制机制，拓展服务领域，加快建立服务农民生产生活的综合平台，努力为推进乡村振兴贡献力量，成为与农民联结更紧密、为农服务功能更完备、市场化运行更高效的合作经济组织体系。完善霸州市农村产权交易体系，引导广大农民入市交易，加强农村产权交易中心运营工作。做好食盐应急储备，保证全市盐产品正常供应。管理运营本级社有资产，确保社有资产保值增值，化解金融风险。负责机关及直属单位党建、精神文明建设和政治思想工作，成为党和政府密切联系农民群众的桥梁纽带，切实在农业现代化建设中更好地发挥作用。</w:t>
      </w:r>
    </w:p>
    <w:p>
      <w:pPr>
        <w:ind w:firstLine="640" w:firstLineChars="200"/>
        <w:rPr>
          <w:rFonts w:ascii="仿宋_GB2312" w:hAnsi="Times New Roman" w:eastAsia="仿宋_GB2312" w:cs="Times New Roman"/>
          <w:sz w:val="32"/>
          <w:szCs w:val="32"/>
        </w:rPr>
      </w:pPr>
    </w:p>
    <w:p>
      <w:pPr>
        <w:keepNext w:val="0"/>
        <w:keepLines w:val="0"/>
        <w:widowControl/>
        <w:suppressLineNumbers w:val="0"/>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二</w:t>
      </w:r>
      <w:r>
        <w:rPr>
          <w:rFonts w:hint="eastAsia" w:ascii="仿宋_GB2312" w:hAnsi="Times New Roman" w:eastAsia="仿宋_GB2312" w:cs="Times New Roman"/>
          <w:sz w:val="32"/>
          <w:szCs w:val="32"/>
        </w:rPr>
        <w:t>）分项</w:t>
      </w:r>
      <w:r>
        <w:rPr>
          <w:rFonts w:ascii="仿宋_GB2312" w:hAnsi="Times New Roman" w:eastAsia="仿宋_GB2312" w:cs="Times New Roman"/>
          <w:sz w:val="32"/>
          <w:szCs w:val="32"/>
        </w:rPr>
        <w:t>绩效目标</w:t>
      </w:r>
    </w:p>
    <w:p>
      <w:p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 xml:space="preserve">1、完善霸州市农村产权交易中心城乡网络 </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绩效目标：完善霸州市农村产权交易体系，引导广大农民入市交易，加</w:t>
      </w:r>
      <w:r>
        <w:rPr>
          <w:rFonts w:hint="default" w:ascii="仿宋_GB2312" w:hAnsi="Times New Roman" w:eastAsia="仿宋_GB2312" w:cs="Times New Roman"/>
          <w:sz w:val="32"/>
          <w:szCs w:val="32"/>
          <w:lang w:val="en-US" w:eastAsia="zh-CN"/>
        </w:rPr>
        <w:t xml:space="preserve">强农村产权交易中心运营工作。 </w:t>
      </w:r>
    </w:p>
    <w:p>
      <w:pPr>
        <w:spacing w:line="500" w:lineRule="exact"/>
        <w:ind w:firstLine="640" w:firstLineChars="200"/>
        <w:jc w:val="left"/>
        <w:rPr>
          <w:rFonts w:hint="eastAsia" w:ascii="Times New Roman" w:eastAsia="仿宋"/>
          <w:sz w:val="28"/>
          <w:lang w:eastAsia="zh-CN"/>
        </w:rPr>
      </w:pPr>
      <w:r>
        <w:rPr>
          <w:rFonts w:hint="default" w:ascii="仿宋_GB2312" w:hAnsi="Times New Roman" w:eastAsia="仿宋_GB2312" w:cs="Times New Roman"/>
          <w:sz w:val="32"/>
          <w:szCs w:val="32"/>
          <w:lang w:val="en-US" w:eastAsia="zh-CN"/>
        </w:rPr>
        <w:t>绩效指标：</w:t>
      </w:r>
      <w:r>
        <w:rPr>
          <w:rFonts w:hint="eastAsia" w:ascii="仿宋" w:hAnsi="仿宋" w:eastAsia="仿宋" w:cs="仿宋"/>
          <w:sz w:val="32"/>
          <w:szCs w:val="32"/>
        </w:rPr>
        <w:t>在霸州市383个村街乡镇组建农村产权交易服务点；大力开展农村产权交易宣传，引导农民入市交易，完成交易额30万；开展1次全市产权平台宣传培训工作</w:t>
      </w:r>
      <w:r>
        <w:rPr>
          <w:rFonts w:hint="eastAsia" w:ascii="仿宋" w:hAnsi="仿宋" w:eastAsia="仿宋" w:cs="仿宋"/>
          <w:sz w:val="32"/>
          <w:szCs w:val="32"/>
          <w:lang w:eastAsia="zh-CN"/>
        </w:rPr>
        <w:t>。</w:t>
      </w:r>
    </w:p>
    <w:p>
      <w:pPr>
        <w:ind w:firstLine="640"/>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2、</w:t>
      </w:r>
      <w:r>
        <w:rPr>
          <w:rFonts w:hint="default" w:ascii="楷体_GB2312" w:hAnsi="Times New Roman" w:eastAsia="楷体_GB2312" w:cs="Times New Roman"/>
          <w:b/>
          <w:sz w:val="32"/>
          <w:szCs w:val="32"/>
          <w:lang w:val="en-US" w:eastAsia="zh-CN"/>
        </w:rPr>
        <w:t xml:space="preserve">确保全市食盐市场供应安全 </w:t>
      </w:r>
    </w:p>
    <w:p>
      <w:pPr>
        <w:ind w:firstLine="640" w:firstLineChars="200"/>
        <w:rPr>
          <w:rFonts w:hint="eastAsia"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绩效目标：保证全市盐产品正常供应。</w:t>
      </w:r>
    </w:p>
    <w:p>
      <w:pPr>
        <w:ind w:firstLine="640" w:firstLineChars="200"/>
        <w:rPr>
          <w:rFonts w:hint="eastAsia"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绩效指标：完成应急储备食盐 488 吨，保证储备充足，按时补充损耗</w:t>
      </w:r>
      <w:r>
        <w:rPr>
          <w:rFonts w:hint="eastAsia" w:ascii="仿宋_GB2312" w:hAnsi="Times New Roman" w:eastAsia="仿宋_GB2312" w:cs="Times New Roman"/>
          <w:sz w:val="32"/>
          <w:szCs w:val="32"/>
          <w:lang w:val="en-US" w:eastAsia="zh-CN"/>
        </w:rPr>
        <w:t>；</w:t>
      </w:r>
      <w:r>
        <w:rPr>
          <w:rFonts w:hint="default" w:ascii="仿宋_GB2312" w:hAnsi="Times New Roman" w:eastAsia="仿宋_GB2312" w:cs="Times New Roman"/>
          <w:sz w:val="32"/>
          <w:szCs w:val="32"/>
          <w:lang w:val="en-US" w:eastAsia="zh-CN"/>
        </w:rPr>
        <w:t>完成销售盐类产品 2400 吨。</w:t>
      </w:r>
    </w:p>
    <w:p>
      <w:pPr>
        <w:keepNext w:val="0"/>
        <w:keepLines w:val="0"/>
        <w:widowControl/>
        <w:suppressLineNumbers w:val="0"/>
        <w:ind w:firstLine="643" w:firstLineChars="200"/>
        <w:jc w:val="left"/>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3、</w:t>
      </w:r>
      <w:r>
        <w:rPr>
          <w:rFonts w:hint="default" w:ascii="楷体_GB2312" w:hAnsi="Times New Roman" w:eastAsia="楷体_GB2312" w:cs="Times New Roman"/>
          <w:b/>
          <w:sz w:val="32"/>
          <w:szCs w:val="32"/>
          <w:lang w:val="en-US" w:eastAsia="zh-CN"/>
        </w:rPr>
        <w:t xml:space="preserve">指导开展农村土地托管业务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绩效目标：指导农民开展土地托管，防止土地闲置。 </w:t>
      </w:r>
    </w:p>
    <w:p>
      <w:pPr>
        <w:ind w:firstLine="640" w:firstLineChars="200"/>
      </w:pPr>
      <w:r>
        <w:rPr>
          <w:rFonts w:hint="default" w:ascii="仿宋_GB2312" w:hAnsi="Times New Roman" w:eastAsia="仿宋_GB2312" w:cs="Times New Roman"/>
          <w:sz w:val="32"/>
          <w:szCs w:val="32"/>
          <w:lang w:val="en-US" w:eastAsia="zh-CN"/>
        </w:rPr>
        <w:t>绩效指标：积极对接农民合作组织，全年完成土地托管 5.5 万亩。</w:t>
      </w:r>
      <w:r>
        <w:rPr>
          <w:rFonts w:hint="default" w:ascii="方正仿宋_GBK" w:hAnsi="方正仿宋_GBK" w:eastAsia="方正仿宋_GBK" w:cs="方正仿宋_GBK"/>
          <w:color w:val="000000"/>
          <w:kern w:val="0"/>
          <w:sz w:val="28"/>
          <w:szCs w:val="28"/>
          <w:lang w:val="en-US" w:eastAsia="zh-CN" w:bidi="ar"/>
        </w:rPr>
        <w:t xml:space="preserve">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4、</w:t>
      </w:r>
      <w:r>
        <w:rPr>
          <w:rFonts w:hint="default" w:ascii="楷体_GB2312" w:hAnsi="Times New Roman" w:eastAsia="楷体_GB2312" w:cs="Times New Roman"/>
          <w:b/>
          <w:sz w:val="32"/>
          <w:szCs w:val="32"/>
          <w:lang w:val="en-US" w:eastAsia="zh-CN"/>
        </w:rPr>
        <w:t xml:space="preserve">监督和管理社有资产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绩效目标：确保社有资产保值增值，化解金融风险。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绩效指标： 每半年开展 1 次社有资产清查。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5、</w:t>
      </w:r>
      <w:r>
        <w:rPr>
          <w:rFonts w:hint="default" w:ascii="楷体_GB2312" w:hAnsi="Times New Roman" w:eastAsia="楷体_GB2312" w:cs="Times New Roman"/>
          <w:b/>
          <w:sz w:val="32"/>
          <w:szCs w:val="32"/>
          <w:lang w:val="en-US" w:eastAsia="zh-CN"/>
        </w:rPr>
        <w:t xml:space="preserve">供销系统安全稳定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绩效目标：加强各项安全防范责任和措施，全年无重特大事故发生。 </w:t>
      </w:r>
    </w:p>
    <w:p>
      <w:pPr>
        <w:spacing w:line="500" w:lineRule="exact"/>
        <w:ind w:firstLine="640" w:firstLineChars="200"/>
        <w:jc w:val="left"/>
        <w:rPr>
          <w:rFonts w:hint="eastAsia" w:ascii="仿宋" w:hAnsi="仿宋" w:eastAsia="仿宋" w:cs="仿宋"/>
          <w:sz w:val="32"/>
          <w:szCs w:val="32"/>
        </w:rPr>
      </w:pPr>
      <w:r>
        <w:rPr>
          <w:rFonts w:hint="default" w:ascii="仿宋_GB2312" w:hAnsi="Times New Roman" w:eastAsia="仿宋_GB2312" w:cs="Times New Roman"/>
          <w:sz w:val="32"/>
          <w:szCs w:val="32"/>
          <w:lang w:val="en-US" w:eastAsia="zh-CN"/>
        </w:rPr>
        <w:t>绩效指标：</w:t>
      </w:r>
      <w:r>
        <w:rPr>
          <w:rFonts w:hint="eastAsia" w:ascii="仿宋" w:hAnsi="仿宋" w:eastAsia="仿宋" w:cs="仿宋"/>
          <w:sz w:val="32"/>
          <w:szCs w:val="32"/>
        </w:rPr>
        <w:t>严格按照“党政同责”“一岗双责”和“三个必须”的要求，把责任落到每个环节，坚决执行领导安全责任包联制度，对供销全系统开展6次安全生产检查。</w:t>
      </w:r>
    </w:p>
    <w:p>
      <w:pPr>
        <w:numPr>
          <w:ilvl w:val="0"/>
          <w:numId w:val="1"/>
        </w:numPr>
        <w:tabs>
          <w:tab w:val="left" w:pos="642"/>
        </w:tabs>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工作保障</w:t>
      </w:r>
      <w:r>
        <w:rPr>
          <w:rFonts w:ascii="仿宋_GB2312" w:hAnsi="Times New Roman" w:eastAsia="仿宋_GB2312" w:cs="Times New Roman"/>
          <w:sz w:val="32"/>
          <w:szCs w:val="32"/>
        </w:rPr>
        <w:t>措施</w:t>
      </w:r>
    </w:p>
    <w:p>
      <w:pPr>
        <w:keepNext w:val="0"/>
        <w:keepLines w:val="0"/>
        <w:widowControl/>
        <w:suppressLineNumbers w:val="0"/>
        <w:ind w:firstLine="643" w:firstLineChars="200"/>
        <w:jc w:val="left"/>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1、完善制度建设。</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包括制定完善预算绩效管理制度，资金管理办法、工作保障制度等，为全年预算绩效目标的实现奠定制度基础。</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2、</w:t>
      </w:r>
      <w:r>
        <w:rPr>
          <w:rFonts w:hint="default" w:ascii="楷体_GB2312" w:hAnsi="Times New Roman" w:eastAsia="楷体_GB2312" w:cs="Times New Roman"/>
          <w:b/>
          <w:sz w:val="32"/>
          <w:szCs w:val="32"/>
          <w:lang w:val="en-US" w:eastAsia="zh-CN"/>
        </w:rPr>
        <w:t>加强支出管理。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通过优化支出结构、编细编实预算、加快履行政府采购手续、尽快启动项目、及时支付资金、6月底前细化代编预算、按规定及时下达资金等多种措施，确保支出进度达标。</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3、</w:t>
      </w:r>
      <w:r>
        <w:rPr>
          <w:rFonts w:hint="default" w:ascii="楷体_GB2312" w:hAnsi="Times New Roman" w:eastAsia="楷体_GB2312" w:cs="Times New Roman"/>
          <w:b/>
          <w:sz w:val="32"/>
          <w:szCs w:val="32"/>
          <w:lang w:val="en-US" w:eastAsia="zh-CN"/>
        </w:rPr>
        <w:t>加强绩效运行监控。</w:t>
      </w:r>
    </w:p>
    <w:p>
      <w:pPr>
        <w:keepNext w:val="0"/>
        <w:keepLines w:val="0"/>
        <w:widowControl/>
        <w:numPr>
          <w:ilvl w:val="0"/>
          <w:numId w:val="0"/>
        </w:numPr>
        <w:suppressLineNumbers w:val="0"/>
        <w:ind w:leftChars="0" w:firstLine="640" w:firstLineChars="200"/>
        <w:jc w:val="left"/>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按要求开展绩效运行监控，发现问题及时采取措施，确保绩效目标如期保质实现。 </w:t>
      </w:r>
    </w:p>
    <w:p>
      <w:pPr>
        <w:keepNext w:val="0"/>
        <w:keepLines w:val="0"/>
        <w:widowControl/>
        <w:suppressLineNumbers w:val="0"/>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4、</w:t>
      </w:r>
      <w:r>
        <w:rPr>
          <w:rFonts w:hint="default" w:ascii="楷体_GB2312" w:hAnsi="Times New Roman" w:eastAsia="楷体_GB2312" w:cs="Times New Roman"/>
          <w:b/>
          <w:sz w:val="32"/>
          <w:szCs w:val="32"/>
          <w:lang w:val="en-US" w:eastAsia="zh-CN"/>
        </w:rPr>
        <w:t>做好绩效自评。</w:t>
      </w:r>
    </w:p>
    <w:p>
      <w:pPr>
        <w:keepNext w:val="0"/>
        <w:keepLines w:val="0"/>
        <w:widowControl/>
        <w:numPr>
          <w:ilvl w:val="0"/>
          <w:numId w:val="0"/>
        </w:numPr>
        <w:suppressLineNumbers w:val="0"/>
        <w:ind w:leftChars="0" w:firstLine="640" w:firstLineChars="200"/>
        <w:jc w:val="left"/>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按要求开展上年度部门预算</w:t>
      </w:r>
      <w:r>
        <w:rPr>
          <w:rFonts w:hint="eastAsia" w:ascii="仿宋_GB2312" w:hAnsi="Times New Roman" w:eastAsia="仿宋_GB2312" w:cs="Times New Roman"/>
          <w:sz w:val="32"/>
          <w:szCs w:val="32"/>
          <w:lang w:val="en-US" w:eastAsia="zh-CN"/>
        </w:rPr>
        <w:t>绩效</w:t>
      </w:r>
      <w:r>
        <w:rPr>
          <w:rFonts w:hint="default" w:ascii="仿宋_GB2312" w:hAnsi="Times New Roman" w:eastAsia="仿宋_GB2312" w:cs="Times New Roman"/>
          <w:sz w:val="32"/>
          <w:szCs w:val="32"/>
          <w:lang w:val="en-US" w:eastAsia="zh-CN"/>
        </w:rPr>
        <w:t xml:space="preserve">自评和重点评价工作，对评价中发现的问题及时整改，调整优化支出结构，提高财政资金使用效益。 </w:t>
      </w:r>
    </w:p>
    <w:p>
      <w:pPr>
        <w:keepNext w:val="0"/>
        <w:keepLines w:val="0"/>
        <w:widowControl/>
        <w:suppressLineNumbers w:val="0"/>
        <w:ind w:firstLine="643" w:firstLineChars="200"/>
        <w:jc w:val="left"/>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5、规范财务资产管理。</w:t>
      </w:r>
    </w:p>
    <w:p>
      <w:pPr>
        <w:numPr>
          <w:ilvl w:val="0"/>
          <w:numId w:val="0"/>
        </w:num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完善财务管理制度，严格审批程序，加强固定资产登记、使用和报废处置管理，做到支出合理，物尽其用。</w:t>
      </w:r>
    </w:p>
    <w:p>
      <w:pPr>
        <w:numPr>
          <w:ilvl w:val="0"/>
          <w:numId w:val="0"/>
        </w:numPr>
        <w:spacing w:line="500" w:lineRule="exact"/>
        <w:ind w:firstLine="640" w:firstLineChars="200"/>
        <w:jc w:val="left"/>
        <w:rPr>
          <w:rFonts w:ascii="Times New Roman" w:eastAsia="方正仿宋_GBK"/>
          <w:sz w:val="28"/>
        </w:rPr>
      </w:pPr>
      <w:r>
        <w:rPr>
          <w:rFonts w:hint="eastAsia" w:ascii="楷体_GB2312" w:hAnsi="Times New Roman" w:eastAsia="楷体_GB2312" w:cs="Times New Roman"/>
          <w:b w:val="0"/>
          <w:bCs/>
          <w:sz w:val="32"/>
          <w:szCs w:val="32"/>
          <w:lang w:val="en-US" w:eastAsia="zh-CN"/>
        </w:rPr>
        <w:t>6、</w:t>
      </w:r>
      <w:r>
        <w:rPr>
          <w:rFonts w:hint="eastAsia" w:ascii="楷体_GB2312" w:hAnsi="Times New Roman" w:eastAsia="楷体_GB2312" w:cs="Times New Roman"/>
          <w:b/>
          <w:sz w:val="32"/>
          <w:szCs w:val="32"/>
          <w:lang w:val="en-US" w:eastAsia="zh-CN"/>
        </w:rPr>
        <w:t>加强内部监督</w:t>
      </w:r>
      <w:r>
        <w:rPr>
          <w:rFonts w:ascii="Times New Roman" w:eastAsia="方正仿宋_GBK"/>
          <w:sz w:val="28"/>
        </w:rPr>
        <w:t>。</w:t>
      </w:r>
    </w:p>
    <w:p>
      <w:pPr>
        <w:numPr>
          <w:ilvl w:val="0"/>
          <w:numId w:val="0"/>
        </w:num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numPr>
          <w:ilvl w:val="0"/>
          <w:numId w:val="2"/>
        </w:numPr>
        <w:spacing w:line="500" w:lineRule="exact"/>
        <w:ind w:firstLine="643" w:firstLineChars="200"/>
        <w:jc w:val="left"/>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加强宣传培训调研等。</w:t>
      </w:r>
    </w:p>
    <w:p>
      <w:pPr>
        <w:numPr>
          <w:ilvl w:val="0"/>
          <w:numId w:val="0"/>
        </w:num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加强人员培训，提高本部门职工业务素质；加强调研，提出优化财政资金配置、提高资金使用效益的意见;加大宣传力度，强化预算绩效管理意识，促进预算绩效管理水平进一步提升。</w:t>
      </w:r>
    </w:p>
    <w:p>
      <w:pPr>
        <w:keepNext w:val="0"/>
        <w:keepLines w:val="0"/>
        <w:widowControl/>
        <w:numPr>
          <w:ilvl w:val="0"/>
          <w:numId w:val="1"/>
        </w:numPr>
        <w:suppressLineNumbers w:val="0"/>
        <w:ind w:left="0" w:leftChars="0" w:firstLine="640" w:firstLineChars="200"/>
        <w:jc w:val="left"/>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pPr w:leftFromText="180" w:rightFromText="180" w:vertAnchor="text" w:horzAnchor="page" w:tblpX="3049" w:tblpY="118"/>
        <w:tblOverlap w:val="never"/>
        <w:tblW w:w="9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162"/>
        <w:gridCol w:w="2625"/>
        <w:gridCol w:w="1350"/>
        <w:gridCol w:w="462"/>
        <w:gridCol w:w="475"/>
        <w:gridCol w:w="44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6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3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37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162" w:type="dxa"/>
            <w:vMerge w:val="continue"/>
            <w:tcBorders>
              <w:tl2br w:val="nil"/>
              <w:tr2bl w:val="nil"/>
            </w:tcBorders>
            <w:vAlign w:val="center"/>
          </w:tcPr>
          <w:p/>
        </w:tc>
        <w:tc>
          <w:tcPr>
            <w:tcW w:w="2625" w:type="dxa"/>
            <w:vMerge w:val="continue"/>
            <w:tcBorders>
              <w:tl2br w:val="nil"/>
              <w:tr2bl w:val="nil"/>
            </w:tcBorders>
            <w:vAlign w:val="center"/>
          </w:tcPr>
          <w:p/>
        </w:tc>
        <w:tc>
          <w:tcPr>
            <w:tcW w:w="1350" w:type="dxa"/>
            <w:vMerge w:val="continue"/>
            <w:tcBorders>
              <w:tl2br w:val="nil"/>
              <w:tr2bl w:val="nil"/>
            </w:tcBorders>
            <w:vAlign w:val="center"/>
          </w:tcPr>
          <w:p/>
        </w:tc>
        <w:tc>
          <w:tcPr>
            <w:tcW w:w="4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7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4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50"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p>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村级服务点个数</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每减少5个扣10%分值，减少50个以上得0分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完成全市所有村街服务点</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383</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个</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数量</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土地托管服务</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每减少0.5万亩扣10%分值，减少2万亩以上得0分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土地托管服务面积</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5.5</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万亩</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数量</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日常食盐储备</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每减少10吨扣10%分值，减少50吨以上得0分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全市应急食盐储备量</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488</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吨</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霸州市食盐储备管理办法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食盐储备完好率</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每增加0.02%扣分值，多于0.05%以上得0分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储备食盐损耗与储备总量的比例</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0.1</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百分比</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霸州市食盐储备管理办法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质量</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农村产权入市交易宣传覆盖率</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每减少5%扣10%分值，减少20%以上得0分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完成宣传村街占全市村街的比例</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90</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百分比</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村级服务点建成时间</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延迟1个月扣10%分值，延迟2个月扣20%分值，延迟3个月得0分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村级服务点全部建成时间</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月</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土地托管服务达成时间</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延迟1个月扣10%分值，延迟2个月扣20%分值，延迟3个月得0分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土地托管服务面积达成目标时间</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月</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储备食盐轮换周期</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每减少5%扣10%分值，减少15%以上得0分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储备食盐轮换量占储备总量的比例</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百分比</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日常食盐储备补充时间</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超过20天未补足扣10%分值，超过50天未补足得0分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因需要调拨储备食盐，需及时补足储备量</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天</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tabs>
                <w:tab w:val="left" w:pos="364"/>
              </w:tabs>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成本</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村级服务点建设费用</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每超1000元扣10%分值，超过6.6万元得0分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完成全市村级服务点建设总费用</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万元</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储备食盐成本</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每超3000元扣10%分值，超过36万元得0分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储备食盐的储存成本</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万元</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经济</w:t>
            </w:r>
          </w:p>
          <w:p>
            <w:pPr>
              <w:widowControl/>
              <w:adjustRightInd w:val="0"/>
              <w:snapToGrid w:val="0"/>
              <w:jc w:val="center"/>
              <w:rPr>
                <w:rFonts w:ascii="方正书宋_GBK" w:eastAsia="方正书宋_GBK"/>
              </w:rPr>
            </w:pPr>
            <w:r>
              <w:rPr>
                <w:rFonts w:ascii="方正书宋_GBK" w:eastAsia="方正书宋_GBK"/>
              </w:rPr>
              <w:t>效益</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农村产权年交易流转土地数量</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每减少8亩扣10%分值，减少20亩以上得0分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2021年在农村产权交易中心挂牌交易、签证的流转土地数量</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亩</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1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储备食盐应急保障率</w:t>
            </w:r>
          </w:p>
        </w:tc>
        <w:tc>
          <w:tcPr>
            <w:tcW w:w="26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每减少2%扣10%分值，减少6%以上得0分</w:t>
            </w:r>
          </w:p>
        </w:tc>
        <w:tc>
          <w:tcPr>
            <w:tcW w:w="13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储备食盐实际应急供应量占计划应急供应量的比例</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百分比</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霸州市食盐储备管理办法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162"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服务对象满意度</w:t>
            </w:r>
          </w:p>
        </w:tc>
        <w:tc>
          <w:tcPr>
            <w:tcW w:w="26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每减少5%扣10%分值，减少25%以上得0分</w:t>
            </w:r>
          </w:p>
        </w:tc>
        <w:tc>
          <w:tcPr>
            <w:tcW w:w="135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所服务的社员、农民、基层供销社、农村社区综合服务中心等服务对象的满意度</w:t>
            </w:r>
          </w:p>
        </w:tc>
        <w:tc>
          <w:tcPr>
            <w:tcW w:w="46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7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90</w:t>
            </w:r>
          </w:p>
        </w:tc>
        <w:tc>
          <w:tcPr>
            <w:tcW w:w="4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百分比</w:t>
            </w:r>
          </w:p>
        </w:tc>
        <w:tc>
          <w:tcPr>
            <w:tcW w:w="165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满意度调查表</w:t>
            </w:r>
          </w:p>
        </w:tc>
      </w:tr>
    </w:tbl>
    <w:p>
      <w:pPr>
        <w:keepNext w:val="0"/>
        <w:keepLines w:val="0"/>
        <w:widowControl/>
        <w:numPr>
          <w:ilvl w:val="0"/>
          <w:numId w:val="0"/>
        </w:numPr>
        <w:suppressLineNumbers w:val="0"/>
        <w:ind w:leftChars="200"/>
        <w:jc w:val="left"/>
        <w:rPr>
          <w:rFonts w:hint="default" w:ascii="仿宋_GB2312" w:hAnsi="Times New Roman" w:eastAsia="仿宋_GB2312" w:cs="Times New Roman"/>
          <w:b w:val="0"/>
          <w:bCs/>
          <w:color w:val="auto"/>
          <w:sz w:val="32"/>
          <w:szCs w:val="32"/>
          <w:lang w:val="en-US" w:eastAsia="zh-CN"/>
        </w:rPr>
      </w:pPr>
    </w:p>
    <w:p>
      <w:pPr>
        <w:numPr>
          <w:ilvl w:val="0"/>
          <w:numId w:val="0"/>
        </w:numPr>
        <w:rPr>
          <w:rFonts w:ascii="仿宋_GB2312" w:hAnsi="Times New Roman" w:eastAsia="仿宋_GB2312" w:cs="Times New Roman"/>
          <w:sz w:val="32"/>
          <w:szCs w:val="32"/>
        </w:rPr>
      </w:pPr>
    </w:p>
    <w:p>
      <w:pPr>
        <w:numPr>
          <w:ilvl w:val="0"/>
          <w:numId w:val="3"/>
        </w:numPr>
        <w:tabs>
          <w:tab w:val="left" w:pos="485"/>
        </w:tabs>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预算项目</w:t>
      </w:r>
      <w:r>
        <w:rPr>
          <w:rFonts w:ascii="楷体_GB2312" w:hAnsi="Times New Roman" w:eastAsia="楷体_GB2312" w:cs="Times New Roman"/>
          <w:b/>
          <w:sz w:val="32"/>
          <w:szCs w:val="32"/>
        </w:rPr>
        <w:t>绩效目标</w:t>
      </w:r>
    </w:p>
    <w:p>
      <w:pPr>
        <w:numPr>
          <w:ilvl w:val="0"/>
          <w:numId w:val="0"/>
        </w:numPr>
        <w:tabs>
          <w:tab w:val="left" w:pos="485"/>
        </w:tabs>
        <w:autoSpaceDE w:val="0"/>
        <w:autoSpaceDN w:val="0"/>
        <w:adjustRightInd w:val="0"/>
        <w:jc w:val="left"/>
        <w:rPr>
          <w:rFonts w:ascii="Times New Roman" w:hAnsi="宋体"/>
          <w:b/>
          <w:sz w:val="28"/>
        </w:rPr>
      </w:pPr>
      <w:r>
        <w:rPr>
          <w:rFonts w:hint="eastAsia" w:ascii="楷体_GB2312" w:hAnsi="Times New Roman" w:eastAsia="楷体_GB2312" w:cs="Times New Roman"/>
          <w:b/>
          <w:sz w:val="32"/>
          <w:szCs w:val="32"/>
          <w:lang w:val="en-US" w:eastAsia="zh-CN"/>
        </w:rPr>
        <w:t xml:space="preserve">    </w:t>
      </w:r>
      <w:bookmarkEnd w:id="1"/>
      <w:bookmarkStart w:id="2" w:name="_Toc64969636"/>
      <w:r>
        <w:rPr>
          <w:rFonts w:hint="eastAsia" w:ascii="楷体" w:hAnsi="楷体" w:eastAsia="楷体" w:cs="楷体"/>
          <w:b w:val="0"/>
          <w:bCs/>
          <w:sz w:val="32"/>
          <w:szCs w:val="32"/>
        </w:rPr>
        <w:t>1.霸州市油棉厂职工2021年养老保险</w:t>
      </w:r>
      <w:r>
        <w:rPr>
          <w:rFonts w:hint="eastAsia" w:ascii="楷体" w:hAnsi="楷体" w:eastAsia="楷体" w:cs="楷体"/>
          <w:b w:val="0"/>
          <w:bCs/>
          <w:sz w:val="32"/>
          <w:szCs w:val="32"/>
          <w:lang w:val="en-US" w:eastAsia="zh-CN"/>
        </w:rPr>
        <w:t>费用</w:t>
      </w:r>
      <w:r>
        <w:rPr>
          <w:rFonts w:hint="eastAsia" w:ascii="楷体" w:hAnsi="楷体" w:eastAsia="楷体" w:cs="楷体"/>
          <w:b w:val="0"/>
          <w:bCs/>
          <w:sz w:val="32"/>
          <w:szCs w:val="32"/>
        </w:rPr>
        <w:t>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1、霸州市油棉厂职工2021年养老保险绩效目标表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907001霸州市供销合作社联合社本级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项目编码</w:t>
            </w:r>
          </w:p>
        </w:tc>
        <w:tc>
          <w:tcPr>
            <w:tcW w:w="2410" w:type="dxa"/>
            <w:gridSpan w:val="2"/>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1310812145426VN0Z4566</w:t>
            </w:r>
          </w:p>
        </w:tc>
        <w:tc>
          <w:tcPr>
            <w:tcW w:w="1587"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项目名称</w:t>
            </w:r>
          </w:p>
        </w:tc>
        <w:tc>
          <w:tcPr>
            <w:tcW w:w="4281" w:type="dxa"/>
            <w:gridSpan w:val="3"/>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霸州市油棉厂职工2021年养老保险</w:t>
            </w:r>
            <w:r>
              <w:rPr>
                <w:rFonts w:hint="eastAsia" w:asciiTheme="minorEastAsia" w:hAnsiTheme="minorEastAsia" w:cstheme="minorEastAsia"/>
                <w:sz w:val="22"/>
                <w:szCs w:val="22"/>
                <w:lang w:val="en-US" w:eastAsia="zh-CN"/>
              </w:rPr>
              <w:t>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预算规模及资金用途</w:t>
            </w:r>
          </w:p>
        </w:tc>
        <w:tc>
          <w:tcPr>
            <w:tcW w:w="1134"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预算数</w:t>
            </w: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37.63</w:t>
            </w:r>
          </w:p>
        </w:tc>
        <w:tc>
          <w:tcPr>
            <w:tcW w:w="1587"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其中：财政资金</w:t>
            </w:r>
          </w:p>
        </w:tc>
        <w:tc>
          <w:tcPr>
            <w:tcW w:w="1304"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37.63</w:t>
            </w:r>
          </w:p>
        </w:tc>
        <w:tc>
          <w:tcPr>
            <w:tcW w:w="1276"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其他资金</w:t>
            </w:r>
          </w:p>
        </w:tc>
        <w:tc>
          <w:tcPr>
            <w:tcW w:w="170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rFonts w:hint="eastAsia" w:asciiTheme="minorEastAsia" w:hAnsiTheme="minorEastAsia" w:eastAsiaTheme="minorEastAsia" w:cstheme="minorEastAsia"/>
                <w:sz w:val="22"/>
                <w:szCs w:val="22"/>
              </w:rPr>
            </w:pPr>
          </w:p>
        </w:tc>
        <w:tc>
          <w:tcPr>
            <w:tcW w:w="8278" w:type="dxa"/>
            <w:gridSpan w:val="6"/>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为霸州市油棉厂56位职工缴纳2021年养老保险,资金预计11月底之前支出。</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p>
          <w:p>
            <w:pPr>
              <w:spacing w:line="300" w:lineRule="exact"/>
              <w:jc w:val="left"/>
              <w:rPr>
                <w:rFonts w:hint="eastAsia" w:asciiTheme="minorEastAsia" w:hAnsiTheme="minorEastAsia" w:eastAsiaTheme="minorEastAsia" w:cstheme="minor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资金支出计划（%）</w:t>
            </w:r>
          </w:p>
        </w:tc>
        <w:tc>
          <w:tcPr>
            <w:tcW w:w="2410" w:type="dxa"/>
            <w:gridSpan w:val="2"/>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3月底</w:t>
            </w:r>
          </w:p>
        </w:tc>
        <w:tc>
          <w:tcPr>
            <w:tcW w:w="1587"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6月底</w:t>
            </w:r>
          </w:p>
        </w:tc>
        <w:tc>
          <w:tcPr>
            <w:tcW w:w="1304"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10月底</w:t>
            </w:r>
          </w:p>
        </w:tc>
        <w:tc>
          <w:tcPr>
            <w:tcW w:w="2977" w:type="dxa"/>
            <w:gridSpan w:val="2"/>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rFonts w:hint="eastAsia" w:asciiTheme="minorEastAsia" w:hAnsiTheme="minorEastAsia" w:eastAsiaTheme="minorEastAsia" w:cstheme="minorEastAsia"/>
                <w:sz w:val="22"/>
                <w:szCs w:val="22"/>
              </w:rPr>
            </w:pPr>
          </w:p>
        </w:tc>
        <w:tc>
          <w:tcPr>
            <w:tcW w:w="2410" w:type="dxa"/>
            <w:gridSpan w:val="2"/>
            <w:tcBorders>
              <w:bottom w:val="single" w:color="000000" w:sz="6" w:space="0"/>
            </w:tcBorders>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25.00%</w:t>
            </w:r>
          </w:p>
        </w:tc>
        <w:tc>
          <w:tcPr>
            <w:tcW w:w="1587" w:type="dxa"/>
            <w:tcBorders>
              <w:bottom w:val="single" w:color="000000" w:sz="6" w:space="0"/>
            </w:tcBorders>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50.00%</w:t>
            </w:r>
          </w:p>
        </w:tc>
        <w:tc>
          <w:tcPr>
            <w:tcW w:w="1304" w:type="dxa"/>
            <w:tcBorders>
              <w:bottom w:val="single" w:color="000000" w:sz="6" w:space="0"/>
            </w:tcBorders>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85.00%</w:t>
            </w:r>
          </w:p>
        </w:tc>
        <w:tc>
          <w:tcPr>
            <w:tcW w:w="2977" w:type="dxa"/>
            <w:gridSpan w:val="2"/>
            <w:tcBorders>
              <w:bottom w:val="single" w:color="000000" w:sz="6" w:space="0"/>
            </w:tcBorders>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绩效目标</w:t>
            </w:r>
          </w:p>
        </w:tc>
        <w:tc>
          <w:tcPr>
            <w:tcW w:w="8278" w:type="dxa"/>
            <w:gridSpan w:val="6"/>
            <w:tcBorders>
              <w:bottom w:val="nil"/>
            </w:tcBorders>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1.通过及时缴纳霸州市油棉厂职工2021年养老保险，确保不出现拖欠情况，避免造成不必要的信访隐患。</w:t>
            </w:r>
          </w:p>
        </w:tc>
      </w:tr>
    </w:tbl>
    <w:p>
      <w:pPr>
        <w:spacing w:line="14"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一级指标</w:t>
            </w:r>
          </w:p>
        </w:tc>
        <w:tc>
          <w:tcPr>
            <w:tcW w:w="1134"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二级指标</w:t>
            </w:r>
          </w:p>
        </w:tc>
        <w:tc>
          <w:tcPr>
            <w:tcW w:w="1276"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三级指标</w:t>
            </w:r>
          </w:p>
        </w:tc>
        <w:tc>
          <w:tcPr>
            <w:tcW w:w="2891"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绩效指标描述</w:t>
            </w:r>
          </w:p>
        </w:tc>
        <w:tc>
          <w:tcPr>
            <w:tcW w:w="1276"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指标值</w:t>
            </w:r>
          </w:p>
        </w:tc>
        <w:tc>
          <w:tcPr>
            <w:tcW w:w="1701" w:type="dxa"/>
            <w:shd w:val="clear" w:color="auto" w:fill="auto"/>
            <w:noWrap w:val="0"/>
            <w:vAlign w:val="center"/>
          </w:tcPr>
          <w:p>
            <w:pPr>
              <w:spacing w:line="300" w:lineRule="exact"/>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产出指标</w:t>
            </w:r>
          </w:p>
        </w:tc>
        <w:tc>
          <w:tcPr>
            <w:tcW w:w="1134"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数量指标</w:t>
            </w: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养老缴费人数（位）</w:t>
            </w:r>
          </w:p>
          <w:p>
            <w:pPr>
              <w:spacing w:line="300" w:lineRule="exact"/>
              <w:jc w:val="left"/>
              <w:rPr>
                <w:rFonts w:hint="eastAsia" w:asciiTheme="minorEastAsia" w:hAnsiTheme="minorEastAsia" w:eastAsiaTheme="minorEastAsia" w:cstheme="minorEastAsia"/>
                <w:sz w:val="22"/>
                <w:szCs w:val="22"/>
              </w:rPr>
            </w:pPr>
          </w:p>
        </w:tc>
        <w:tc>
          <w:tcPr>
            <w:tcW w:w="289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为霸州油棉厂2021年养老保险人数</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p>
          <w:p>
            <w:pPr>
              <w:spacing w:line="300" w:lineRule="exact"/>
              <w:jc w:val="left"/>
              <w:rPr>
                <w:rFonts w:hint="eastAsia" w:asciiTheme="minorEastAsia" w:hAnsiTheme="minorEastAsia" w:eastAsiaTheme="minorEastAsia" w:cstheme="minorEastAsia"/>
                <w:sz w:val="22"/>
                <w:szCs w:val="22"/>
              </w:rPr>
            </w:pP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56人</w:t>
            </w:r>
          </w:p>
        </w:tc>
        <w:tc>
          <w:tcPr>
            <w:tcW w:w="170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p>
        </w:tc>
        <w:tc>
          <w:tcPr>
            <w:tcW w:w="1134"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质量指标</w:t>
            </w: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资金发放率（％）</w:t>
            </w:r>
          </w:p>
          <w:p>
            <w:pPr>
              <w:spacing w:line="300" w:lineRule="exact"/>
              <w:jc w:val="left"/>
              <w:rPr>
                <w:rFonts w:hint="eastAsia" w:asciiTheme="minorEastAsia" w:hAnsiTheme="minorEastAsia" w:eastAsiaTheme="minorEastAsia" w:cstheme="minorEastAsia"/>
                <w:sz w:val="22"/>
                <w:szCs w:val="22"/>
              </w:rPr>
            </w:pPr>
          </w:p>
        </w:tc>
        <w:tc>
          <w:tcPr>
            <w:tcW w:w="289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实际发放金额占应发放金额的比例</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p>
          <w:p>
            <w:pPr>
              <w:spacing w:line="300" w:lineRule="exact"/>
              <w:jc w:val="left"/>
              <w:rPr>
                <w:rFonts w:hint="eastAsia" w:asciiTheme="minorEastAsia" w:hAnsiTheme="minorEastAsia" w:eastAsiaTheme="minorEastAsia" w:cstheme="minorEastAsia"/>
                <w:sz w:val="22"/>
                <w:szCs w:val="22"/>
              </w:rPr>
            </w:pP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100%</w:t>
            </w:r>
          </w:p>
        </w:tc>
        <w:tc>
          <w:tcPr>
            <w:tcW w:w="170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p>
        </w:tc>
        <w:tc>
          <w:tcPr>
            <w:tcW w:w="1134"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时效指标</w:t>
            </w: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资金拨付时间（月）</w:t>
            </w:r>
          </w:p>
          <w:p>
            <w:pPr>
              <w:spacing w:line="300" w:lineRule="exact"/>
              <w:jc w:val="left"/>
              <w:rPr>
                <w:rFonts w:hint="eastAsia" w:asciiTheme="minorEastAsia" w:hAnsiTheme="minorEastAsia" w:eastAsiaTheme="minorEastAsia" w:cstheme="minorEastAsia"/>
                <w:sz w:val="22"/>
                <w:szCs w:val="22"/>
              </w:rPr>
            </w:pPr>
          </w:p>
        </w:tc>
        <w:tc>
          <w:tcPr>
            <w:tcW w:w="289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2021年11月底之前支出</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p>
          <w:p>
            <w:pPr>
              <w:spacing w:line="300" w:lineRule="exact"/>
              <w:jc w:val="left"/>
              <w:rPr>
                <w:rFonts w:hint="eastAsia" w:asciiTheme="minorEastAsia" w:hAnsiTheme="minorEastAsia" w:eastAsiaTheme="minorEastAsia" w:cstheme="minorEastAsia"/>
                <w:sz w:val="22"/>
                <w:szCs w:val="22"/>
              </w:rPr>
            </w:pP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≤11月</w:t>
            </w:r>
          </w:p>
        </w:tc>
        <w:tc>
          <w:tcPr>
            <w:tcW w:w="170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p>
        </w:tc>
        <w:tc>
          <w:tcPr>
            <w:tcW w:w="1134"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成本指标</w:t>
            </w: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养老保险缴纳金额（元）</w:t>
            </w:r>
          </w:p>
          <w:p>
            <w:pPr>
              <w:spacing w:line="300" w:lineRule="exact"/>
              <w:jc w:val="left"/>
              <w:rPr>
                <w:rFonts w:hint="eastAsia" w:asciiTheme="minorEastAsia" w:hAnsiTheme="minorEastAsia" w:eastAsiaTheme="minorEastAsia" w:cstheme="minorEastAsia"/>
                <w:sz w:val="22"/>
                <w:szCs w:val="22"/>
              </w:rPr>
            </w:pPr>
          </w:p>
        </w:tc>
        <w:tc>
          <w:tcPr>
            <w:tcW w:w="289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缴纳养老保险总金额</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p>
          <w:p>
            <w:pPr>
              <w:spacing w:line="300" w:lineRule="exact"/>
              <w:jc w:val="left"/>
              <w:rPr>
                <w:rFonts w:hint="eastAsia" w:asciiTheme="minorEastAsia" w:hAnsiTheme="minorEastAsia" w:eastAsiaTheme="minorEastAsia" w:cstheme="minorEastAsia"/>
                <w:sz w:val="22"/>
                <w:szCs w:val="22"/>
              </w:rPr>
            </w:pP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376320元</w:t>
            </w:r>
          </w:p>
        </w:tc>
        <w:tc>
          <w:tcPr>
            <w:tcW w:w="170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效益指标</w:t>
            </w:r>
          </w:p>
        </w:tc>
        <w:tc>
          <w:tcPr>
            <w:tcW w:w="1134"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社会效益指标</w:t>
            </w: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职工上访次数（次）</w:t>
            </w:r>
          </w:p>
          <w:p>
            <w:pPr>
              <w:spacing w:line="300" w:lineRule="exact"/>
              <w:jc w:val="left"/>
              <w:rPr>
                <w:rFonts w:hint="eastAsia" w:asciiTheme="minorEastAsia" w:hAnsiTheme="minorEastAsia" w:eastAsiaTheme="minorEastAsia" w:cstheme="minorEastAsia"/>
                <w:sz w:val="22"/>
                <w:szCs w:val="22"/>
              </w:rPr>
            </w:pPr>
          </w:p>
        </w:tc>
        <w:tc>
          <w:tcPr>
            <w:tcW w:w="289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资金发放到位后，职工上访次数</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ab/>
            </w:r>
          </w:p>
          <w:p>
            <w:pPr>
              <w:spacing w:line="300" w:lineRule="exact"/>
              <w:jc w:val="left"/>
              <w:rPr>
                <w:rFonts w:hint="eastAsia" w:asciiTheme="minorEastAsia" w:hAnsiTheme="minorEastAsia" w:eastAsiaTheme="minorEastAsia" w:cstheme="minorEastAsia"/>
                <w:sz w:val="22"/>
                <w:szCs w:val="22"/>
              </w:rPr>
            </w:pP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0次</w:t>
            </w:r>
          </w:p>
        </w:tc>
        <w:tc>
          <w:tcPr>
            <w:tcW w:w="170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满意度指标</w:t>
            </w:r>
          </w:p>
        </w:tc>
        <w:tc>
          <w:tcPr>
            <w:tcW w:w="1134"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服务对象满意度指标</w:t>
            </w: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服务对象</w:t>
            </w:r>
          </w:p>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满意度指标</w:t>
            </w:r>
          </w:p>
        </w:tc>
        <w:tc>
          <w:tcPr>
            <w:tcW w:w="289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受益群众满意率（％）</w:t>
            </w:r>
          </w:p>
          <w:p>
            <w:pPr>
              <w:spacing w:line="300" w:lineRule="exact"/>
              <w:jc w:val="left"/>
              <w:rPr>
                <w:rFonts w:hint="eastAsia" w:asciiTheme="minorEastAsia" w:hAnsiTheme="minorEastAsia" w:eastAsiaTheme="minorEastAsia" w:cstheme="minorEastAsia"/>
                <w:sz w:val="22"/>
                <w:szCs w:val="22"/>
              </w:rPr>
            </w:pPr>
          </w:p>
        </w:tc>
        <w:tc>
          <w:tcPr>
            <w:tcW w:w="1276"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≥90%</w:t>
            </w:r>
          </w:p>
        </w:tc>
        <w:tc>
          <w:tcPr>
            <w:tcW w:w="1701" w:type="dxa"/>
            <w:shd w:val="clear" w:color="auto" w:fill="auto"/>
            <w:noWrap w:val="0"/>
            <w:vAlign w:val="center"/>
          </w:tcPr>
          <w:p>
            <w:pPr>
              <w:spacing w:line="300" w:lineRule="exac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计划标准</w:t>
            </w:r>
          </w:p>
        </w:tc>
      </w:tr>
    </w:tbl>
    <w:p>
      <w:pPr>
        <w:spacing w:line="300" w:lineRule="exact"/>
        <w:jc w:val="left"/>
        <w:sectPr>
          <w:pgSz w:w="16839" w:h="11907"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640" w:firstLineChars="200"/>
        <w:jc w:val="left"/>
        <w:outlineLvl w:val="3"/>
        <w:rPr>
          <w:rFonts w:ascii="Times New Roman" w:hAnsi="宋体"/>
          <w:b/>
          <w:sz w:val="28"/>
        </w:rPr>
      </w:pPr>
      <w:bookmarkStart w:id="3" w:name="_Toc64969637"/>
      <w:r>
        <w:rPr>
          <w:rFonts w:hint="eastAsia" w:ascii="楷体" w:hAnsi="楷体" w:eastAsia="楷体" w:cs="楷体"/>
          <w:b w:val="0"/>
          <w:bCs/>
          <w:sz w:val="32"/>
          <w:szCs w:val="32"/>
        </w:rPr>
        <w:t>2.市级食盐储备库</w:t>
      </w:r>
      <w:r>
        <w:rPr>
          <w:rFonts w:hint="eastAsia" w:ascii="楷体" w:hAnsi="楷体" w:eastAsia="楷体" w:cs="楷体"/>
          <w:b w:val="0"/>
          <w:bCs/>
          <w:sz w:val="32"/>
          <w:szCs w:val="32"/>
          <w:lang w:val="en-US" w:eastAsia="zh-CN"/>
        </w:rPr>
        <w:t>运转</w:t>
      </w:r>
      <w:r>
        <w:rPr>
          <w:rFonts w:hint="eastAsia" w:ascii="楷体" w:hAnsi="楷体" w:eastAsia="楷体" w:cs="楷体"/>
          <w:b w:val="0"/>
          <w:bCs/>
          <w:sz w:val="32"/>
          <w:szCs w:val="32"/>
        </w:rPr>
        <w:t>资金绩效目标表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2、市级食盐储备库所需资金绩效目标表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907001霸州市供销合作社联合社本级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项目编码</w:t>
            </w:r>
          </w:p>
        </w:tc>
        <w:tc>
          <w:tcPr>
            <w:tcW w:w="2410" w:type="dxa"/>
            <w:gridSpan w:val="2"/>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131081216SA4HBZ6RAVKG</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项目名称</w:t>
            </w:r>
          </w:p>
        </w:tc>
        <w:tc>
          <w:tcPr>
            <w:tcW w:w="4281" w:type="dxa"/>
            <w:gridSpan w:val="3"/>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市级食盐储备库</w:t>
            </w:r>
            <w:r>
              <w:rPr>
                <w:rFonts w:hint="eastAsia" w:ascii="宋体" w:hAnsi="宋体" w:eastAsia="宋体" w:cs="宋体"/>
                <w:sz w:val="22"/>
                <w:szCs w:val="22"/>
                <w:lang w:val="en-US" w:eastAsia="zh-CN"/>
              </w:rPr>
              <w:t>运转</w:t>
            </w:r>
            <w:r>
              <w:rPr>
                <w:rFonts w:hint="eastAsia" w:ascii="宋体" w:hAnsi="宋体" w:eastAsia="宋体" w:cs="宋体"/>
                <w:sz w:val="22"/>
                <w:szCs w:val="22"/>
              </w:rPr>
              <w:t>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预算规模及资金用途</w:t>
            </w:r>
          </w:p>
        </w:tc>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预算数</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24.00</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其中：财政资金</w:t>
            </w:r>
          </w:p>
        </w:tc>
        <w:tc>
          <w:tcPr>
            <w:tcW w:w="130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24.00</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其他资金</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rFonts w:hint="eastAsia" w:ascii="宋体" w:hAnsi="宋体" w:eastAsia="宋体" w:cs="宋体"/>
                <w:sz w:val="22"/>
                <w:szCs w:val="22"/>
              </w:rPr>
            </w:pPr>
          </w:p>
        </w:tc>
        <w:tc>
          <w:tcPr>
            <w:tcW w:w="8278" w:type="dxa"/>
            <w:gridSpan w:val="6"/>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食盐常年储备量488吨，按照《霸州市食盐储备管理办法》第十条规定：储备资金由政府给予支持，食盐储备、轮换环节的费用及损失、损耗市政府给予定额补贴。</w:t>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资金支出计划（%）</w:t>
            </w:r>
          </w:p>
        </w:tc>
        <w:tc>
          <w:tcPr>
            <w:tcW w:w="2410" w:type="dxa"/>
            <w:gridSpan w:val="2"/>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3月底</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6月底</w:t>
            </w:r>
          </w:p>
        </w:tc>
        <w:tc>
          <w:tcPr>
            <w:tcW w:w="130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10月底</w:t>
            </w:r>
          </w:p>
        </w:tc>
        <w:tc>
          <w:tcPr>
            <w:tcW w:w="2977" w:type="dxa"/>
            <w:gridSpan w:val="2"/>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rFonts w:hint="eastAsia" w:ascii="宋体" w:hAnsi="宋体" w:eastAsia="宋体" w:cs="宋体"/>
                <w:sz w:val="22"/>
                <w:szCs w:val="22"/>
              </w:rPr>
            </w:pPr>
          </w:p>
        </w:tc>
        <w:tc>
          <w:tcPr>
            <w:tcW w:w="2410" w:type="dxa"/>
            <w:gridSpan w:val="2"/>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p>
        </w:tc>
        <w:tc>
          <w:tcPr>
            <w:tcW w:w="1587" w:type="dxa"/>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c>
          <w:tcPr>
            <w:tcW w:w="1304" w:type="dxa"/>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绩效目标</w:t>
            </w:r>
          </w:p>
        </w:tc>
        <w:tc>
          <w:tcPr>
            <w:tcW w:w="8278" w:type="dxa"/>
            <w:gridSpan w:val="6"/>
            <w:tcBorders>
              <w:bottom w:val="nil"/>
            </w:tcBorders>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1.为全市人民提供安全合格的食用盐</w:t>
            </w:r>
          </w:p>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为加强食盐储备管理，保证储备食盐数量真实、质量良好、储存安全,维护食盐市场稳定，保障食盐供应，常年食盐储备总量488吨,应对发生重大自然灾害或者其他突发公共事件，有效发挥储备食盐在宏观调控中的作用。</w:t>
            </w:r>
          </w:p>
        </w:tc>
      </w:tr>
    </w:tbl>
    <w:p>
      <w:pPr>
        <w:spacing w:line="14" w:lineRule="exact"/>
        <w:jc w:val="center"/>
        <w:rPr>
          <w:rFonts w:hint="eastAsia" w:ascii="宋体" w:hAnsi="宋体" w:eastAsia="宋体" w:cs="宋体"/>
          <w:sz w:val="22"/>
          <w:szCs w:val="22"/>
        </w:rPr>
      </w:pPr>
      <w:r>
        <w:rPr>
          <w:rFonts w:hint="eastAsia" w:ascii="宋体" w:hAnsi="宋体" w:eastAsia="宋体" w:cs="宋体"/>
          <w:sz w:val="22"/>
          <w:szCs w:val="22"/>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一级指标</w:t>
            </w:r>
          </w:p>
        </w:tc>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二级指标</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三级指标</w:t>
            </w:r>
          </w:p>
        </w:tc>
        <w:tc>
          <w:tcPr>
            <w:tcW w:w="2891"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绩效指标描述</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w:t>
            </w:r>
          </w:p>
        </w:tc>
        <w:tc>
          <w:tcPr>
            <w:tcW w:w="1701"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产出指标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日常食盐储备数量（吨）</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盐业公司日常食盐储备保持488吨以上，保障霸州市市民2个月的使用量。</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≥488吨</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储备食盐月盘点次数（次）</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盐业公司食盐储备保持做到每天盘点结存一次仓库。</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≥22次</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质量指标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储备食盐质量完好率（%）</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储备食盐损耗与储备总量的比例。</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≤0.1%</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时效指标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储备食盐轮换周期（%）</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储备食盐轮换量占食盐储备总量的比例</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≥95%</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储备食盐成本控制数</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储备食盐成本占预算总成本的数量</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≤35万元</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效益指标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社会效益指标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储备食盐应急保障率（%）</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储备食盐实际应急供应量占计划应急供应量。</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≥100%</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满意度指标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使用人员满意率（%)</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经调查，全市人民使用放心盐满意的人数占总调查人数的比例。</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bl>
    <w:p>
      <w:pPr>
        <w:spacing w:line="300" w:lineRule="exact"/>
        <w:jc w:val="left"/>
        <w:rPr>
          <w:rFonts w:hint="eastAsia" w:ascii="宋体" w:hAnsi="宋体" w:eastAsia="宋体" w:cs="宋体"/>
          <w:sz w:val="22"/>
          <w:szCs w:val="22"/>
        </w:rPr>
        <w:sectPr>
          <w:pgSz w:w="16839" w:h="11907" w:orient="landscape"/>
          <w:pgMar w:top="1304" w:right="1984" w:bottom="1304" w:left="1134" w:header="851" w:footer="992" w:gutter="0"/>
          <w:cols w:space="0" w:num="1"/>
          <w:rtlGutter w:val="0"/>
          <w:docGrid w:type="lines" w:linePitch="320" w:charSpace="0"/>
        </w:sectPr>
      </w:pPr>
    </w:p>
    <w:p>
      <w:pPr>
        <w:spacing w:line="300" w:lineRule="exact"/>
        <w:jc w:val="left"/>
        <w:rPr>
          <w:rFonts w:hint="eastAsia" w:ascii="楷体" w:hAnsi="楷体" w:eastAsia="楷体" w:cs="楷体"/>
          <w:b w:val="0"/>
          <w:bCs w:val="0"/>
          <w:sz w:val="32"/>
          <w:szCs w:val="32"/>
        </w:rPr>
      </w:pPr>
    </w:p>
    <w:p>
      <w:pPr>
        <w:ind w:firstLine="640" w:firstLineChars="200"/>
        <w:jc w:val="left"/>
        <w:outlineLvl w:val="3"/>
        <w:rPr>
          <w:rFonts w:ascii="Times New Roman" w:hAnsi="宋体"/>
          <w:b/>
          <w:sz w:val="28"/>
        </w:rPr>
      </w:pPr>
      <w:bookmarkStart w:id="4" w:name="_Toc64969638"/>
      <w:r>
        <w:rPr>
          <w:rFonts w:hint="eastAsia" w:ascii="楷体" w:hAnsi="楷体" w:eastAsia="楷体" w:cs="楷体"/>
          <w:b w:val="0"/>
          <w:bCs w:val="0"/>
          <w:sz w:val="32"/>
          <w:szCs w:val="32"/>
        </w:rPr>
        <w:t>3.霸州市油棉厂职工2021年医疗保险</w:t>
      </w:r>
      <w:r>
        <w:rPr>
          <w:rFonts w:hint="eastAsia" w:ascii="楷体" w:hAnsi="楷体" w:eastAsia="楷体" w:cs="楷体"/>
          <w:b w:val="0"/>
          <w:bCs w:val="0"/>
          <w:sz w:val="32"/>
          <w:szCs w:val="32"/>
          <w:lang w:val="en-US" w:eastAsia="zh-CN"/>
        </w:rPr>
        <w:t>费用</w:t>
      </w:r>
      <w:r>
        <w:rPr>
          <w:rFonts w:hint="eastAsia" w:ascii="楷体" w:hAnsi="楷体" w:eastAsia="楷体" w:cs="楷体"/>
          <w:b w:val="0"/>
          <w:bCs w:val="0"/>
          <w:sz w:val="32"/>
          <w:szCs w:val="32"/>
        </w:rPr>
        <w:t>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3、霸州市油棉厂职工2021年医疗保险绩效目标表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907001霸州市供销合作社联合社本级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项目编码</w:t>
            </w:r>
          </w:p>
        </w:tc>
        <w:tc>
          <w:tcPr>
            <w:tcW w:w="2410" w:type="dxa"/>
            <w:gridSpan w:val="2"/>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13108121EMG5S4XL414CI</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项目名称</w:t>
            </w:r>
          </w:p>
        </w:tc>
        <w:tc>
          <w:tcPr>
            <w:tcW w:w="4281" w:type="dxa"/>
            <w:gridSpan w:val="3"/>
            <w:shd w:val="clear" w:color="auto" w:fill="auto"/>
            <w:noWrap w:val="0"/>
            <w:vAlign w:val="center"/>
          </w:tcPr>
          <w:p>
            <w:pPr>
              <w:spacing w:line="300" w:lineRule="exact"/>
              <w:jc w:val="left"/>
              <w:rPr>
                <w:rFonts w:hint="eastAsia" w:ascii="宋体" w:hAnsi="宋体" w:eastAsia="宋体" w:cs="宋体"/>
                <w:sz w:val="22"/>
                <w:szCs w:val="22"/>
                <w:lang w:val="en-US" w:eastAsia="zh-CN"/>
              </w:rPr>
            </w:pPr>
            <w:r>
              <w:rPr>
                <w:rFonts w:hint="eastAsia" w:ascii="宋体" w:hAnsi="宋体" w:eastAsia="宋体" w:cs="宋体"/>
                <w:sz w:val="22"/>
                <w:szCs w:val="22"/>
              </w:rPr>
              <w:t>霸州市油棉厂职工2021年医疗保险</w:t>
            </w:r>
            <w:r>
              <w:rPr>
                <w:rFonts w:hint="eastAsia" w:ascii="宋体" w:hAnsi="宋体" w:eastAsia="宋体" w:cs="宋体"/>
                <w:sz w:val="22"/>
                <w:szCs w:val="22"/>
                <w:lang w:val="en-US" w:eastAsia="zh-CN"/>
              </w:rPr>
              <w:t>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预算规模及资金用途</w:t>
            </w:r>
          </w:p>
        </w:tc>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预算数</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33.50</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其中：财政资金</w:t>
            </w:r>
          </w:p>
        </w:tc>
        <w:tc>
          <w:tcPr>
            <w:tcW w:w="130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33.50</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其他资金</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rFonts w:hint="eastAsia" w:ascii="宋体" w:hAnsi="宋体" w:eastAsia="宋体" w:cs="宋体"/>
                <w:sz w:val="22"/>
                <w:szCs w:val="22"/>
              </w:rPr>
            </w:pPr>
          </w:p>
        </w:tc>
        <w:tc>
          <w:tcPr>
            <w:tcW w:w="8278" w:type="dxa"/>
            <w:gridSpan w:val="6"/>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为霸州市油棉厂56位在职职工缴纳2020年1-6月医疗保险，331位职工缴纳大病医疗保险，资金预计11月底之前支出。</w:t>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资金支出计划（%）</w:t>
            </w:r>
          </w:p>
        </w:tc>
        <w:tc>
          <w:tcPr>
            <w:tcW w:w="2410" w:type="dxa"/>
            <w:gridSpan w:val="2"/>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3月底</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6月底</w:t>
            </w:r>
          </w:p>
        </w:tc>
        <w:tc>
          <w:tcPr>
            <w:tcW w:w="130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10月底</w:t>
            </w:r>
          </w:p>
        </w:tc>
        <w:tc>
          <w:tcPr>
            <w:tcW w:w="2977" w:type="dxa"/>
            <w:gridSpan w:val="2"/>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rFonts w:hint="eastAsia" w:ascii="宋体" w:hAnsi="宋体" w:eastAsia="宋体" w:cs="宋体"/>
                <w:sz w:val="22"/>
                <w:szCs w:val="22"/>
              </w:rPr>
            </w:pPr>
          </w:p>
        </w:tc>
        <w:tc>
          <w:tcPr>
            <w:tcW w:w="2410" w:type="dxa"/>
            <w:gridSpan w:val="2"/>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25.00%</w:t>
            </w:r>
          </w:p>
        </w:tc>
        <w:tc>
          <w:tcPr>
            <w:tcW w:w="1587" w:type="dxa"/>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50.00%</w:t>
            </w:r>
          </w:p>
        </w:tc>
        <w:tc>
          <w:tcPr>
            <w:tcW w:w="1304" w:type="dxa"/>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85.00%</w:t>
            </w:r>
          </w:p>
        </w:tc>
        <w:tc>
          <w:tcPr>
            <w:tcW w:w="2977" w:type="dxa"/>
            <w:gridSpan w:val="2"/>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绩效目标</w:t>
            </w:r>
          </w:p>
        </w:tc>
        <w:tc>
          <w:tcPr>
            <w:tcW w:w="8278" w:type="dxa"/>
            <w:gridSpan w:val="6"/>
            <w:tcBorders>
              <w:bottom w:val="nil"/>
            </w:tcBorders>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1.通过确保霸州市油棉厂56位在职职工缴纳2021年医疗保险，275位职工缴纳大病医疗保险，确保不出现拖欠情况，避免造成不必要的信访隐患。</w:t>
            </w:r>
          </w:p>
        </w:tc>
      </w:tr>
    </w:tbl>
    <w:p>
      <w:pPr>
        <w:spacing w:line="14" w:lineRule="exact"/>
        <w:jc w:val="center"/>
        <w:rPr>
          <w:rFonts w:hint="eastAsia" w:ascii="宋体" w:hAnsi="宋体" w:eastAsia="宋体" w:cs="宋体"/>
          <w:sz w:val="22"/>
          <w:szCs w:val="22"/>
        </w:rPr>
      </w:pPr>
      <w:r>
        <w:rPr>
          <w:rFonts w:hint="eastAsia" w:ascii="宋体" w:hAnsi="宋体" w:eastAsia="宋体" w:cs="宋体"/>
          <w:sz w:val="22"/>
          <w:szCs w:val="22"/>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一级指标</w:t>
            </w:r>
          </w:p>
        </w:tc>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二级指标</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三级指标</w:t>
            </w:r>
          </w:p>
        </w:tc>
        <w:tc>
          <w:tcPr>
            <w:tcW w:w="2891"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绩效指标描述</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w:t>
            </w:r>
          </w:p>
        </w:tc>
        <w:tc>
          <w:tcPr>
            <w:tcW w:w="1701"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产出指标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医疗缴费人数（位）</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为霸州市油棉厂缴纳2021年医疗保险人数</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56人</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大病医疗保险缴费人数（位）</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为霸州市油棉厂缴纳2021年大病医疗保险人数</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331人</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质量指标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资金发放率（%）</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实际发放金额占应发放金额的比例</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100%</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时效指标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资金拨付时间（月）</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2021年11月底之前支出</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≤11月</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医疗保险缴费金额（元）</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缴纳医疗保险总金额</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315097.44元</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大病医疗保险缴费金额（元）</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275人缴纳大病医疗保险每人60元</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60元</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效益指标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社会效益指标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职工上访次数（次）</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资金发放到位后，职工上访次数</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0次</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满意度指标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受益群众满意率（％）</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经调查，油棉厂职工满意人数占调查总人数</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bl>
    <w:p>
      <w:pPr>
        <w:spacing w:line="300" w:lineRule="exact"/>
        <w:jc w:val="left"/>
        <w:rPr>
          <w:rFonts w:hint="eastAsia" w:ascii="宋体" w:hAnsi="宋体" w:eastAsia="宋体" w:cs="宋体"/>
          <w:sz w:val="22"/>
          <w:szCs w:val="22"/>
        </w:rPr>
        <w:sectPr>
          <w:pgSz w:w="16839" w:h="11907" w:orient="landscape"/>
          <w:pgMar w:top="1304" w:right="1984" w:bottom="1304" w:left="1134" w:header="851" w:footer="992" w:gutter="0"/>
          <w:cols w:space="0" w:num="1"/>
          <w:rtlGutter w:val="0"/>
          <w:docGrid w:type="lines" w:linePitch="320" w:charSpace="0"/>
        </w:sectPr>
      </w:pPr>
    </w:p>
    <w:p>
      <w:pPr>
        <w:spacing w:line="300" w:lineRule="exact"/>
        <w:jc w:val="left"/>
      </w:pPr>
    </w:p>
    <w:p>
      <w:pPr>
        <w:ind w:firstLine="640" w:firstLineChars="200"/>
        <w:jc w:val="left"/>
        <w:outlineLvl w:val="3"/>
        <w:rPr>
          <w:rFonts w:ascii="Times New Roman" w:hAnsi="宋体"/>
          <w:b/>
          <w:sz w:val="28"/>
        </w:rPr>
      </w:pPr>
      <w:bookmarkStart w:id="5" w:name="_Toc64969639"/>
      <w:r>
        <w:rPr>
          <w:rFonts w:hint="eastAsia" w:ascii="楷体" w:hAnsi="楷体" w:eastAsia="楷体" w:cs="楷体"/>
          <w:b w:val="0"/>
          <w:bCs/>
          <w:sz w:val="32"/>
          <w:szCs w:val="32"/>
        </w:rPr>
        <w:t>4.霸州市农村产权交易中心</w:t>
      </w:r>
      <w:r>
        <w:rPr>
          <w:rFonts w:hint="eastAsia" w:ascii="楷体" w:hAnsi="楷体" w:eastAsia="楷体" w:cs="楷体"/>
          <w:b w:val="0"/>
          <w:bCs/>
          <w:sz w:val="32"/>
          <w:szCs w:val="32"/>
          <w:lang w:val="en-US" w:eastAsia="zh-CN"/>
        </w:rPr>
        <w:t>运转</w:t>
      </w:r>
      <w:r>
        <w:rPr>
          <w:rFonts w:hint="eastAsia" w:ascii="楷体" w:hAnsi="楷体" w:eastAsia="楷体" w:cs="楷体"/>
          <w:b w:val="0"/>
          <w:bCs/>
          <w:sz w:val="32"/>
          <w:szCs w:val="32"/>
        </w:rPr>
        <w:t>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4、霸州市农村产权交易中心经费项目绩效目标表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907001霸州市供销合作社联合社本级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项目编码</w:t>
            </w:r>
          </w:p>
        </w:tc>
        <w:tc>
          <w:tcPr>
            <w:tcW w:w="2410" w:type="dxa"/>
            <w:gridSpan w:val="2"/>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13108121L3MVPZRCKIHFP</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项目名称</w:t>
            </w:r>
          </w:p>
        </w:tc>
        <w:tc>
          <w:tcPr>
            <w:tcW w:w="4281" w:type="dxa"/>
            <w:gridSpan w:val="3"/>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霸州市农村产权交易中心</w:t>
            </w:r>
            <w:r>
              <w:rPr>
                <w:rFonts w:hint="eastAsia" w:ascii="宋体" w:hAnsi="宋体" w:eastAsia="宋体" w:cs="宋体"/>
                <w:sz w:val="22"/>
                <w:szCs w:val="22"/>
                <w:lang w:val="en-US" w:eastAsia="zh-CN"/>
              </w:rPr>
              <w:t>运转</w:t>
            </w:r>
            <w:r>
              <w:rPr>
                <w:rFonts w:hint="eastAsia" w:ascii="宋体" w:hAnsi="宋体" w:eastAsia="宋体" w:cs="宋体"/>
                <w:sz w:val="22"/>
                <w:szCs w:val="22"/>
              </w:rPr>
              <w:t>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预算规模及资金用途</w:t>
            </w:r>
          </w:p>
        </w:tc>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预算数</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51.00</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其中：财政资金</w:t>
            </w:r>
          </w:p>
        </w:tc>
        <w:tc>
          <w:tcPr>
            <w:tcW w:w="130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51.00</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其他资金</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rFonts w:hint="eastAsia" w:ascii="宋体" w:hAnsi="宋体" w:eastAsia="宋体" w:cs="宋体"/>
                <w:sz w:val="22"/>
                <w:szCs w:val="22"/>
              </w:rPr>
            </w:pPr>
          </w:p>
        </w:tc>
        <w:tc>
          <w:tcPr>
            <w:tcW w:w="8278" w:type="dxa"/>
            <w:gridSpan w:val="6"/>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资金支出内容：用于县级产权交易中心运营以及乡镇服务站、村级服务点建设，主要包括人员开支、宣传费、网络服务费、培训费、乡村两级服务站点建设费以及其他开支等。项目实施计划时间安排：人员工资、保险等按时发放；3月底前完成政府采购；7月底前完成全市乡村两级服务站点建设；8月底前完成全市乡村两级服务站点工作人员培训，12月底前参照廊坊出台相关文件，完成产权交易平台的宣传工作，做到全年交易额不低于50万元。资金使用计划安排：按月序时支出。</w:t>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资金支出计划（%）</w:t>
            </w:r>
          </w:p>
        </w:tc>
        <w:tc>
          <w:tcPr>
            <w:tcW w:w="2410" w:type="dxa"/>
            <w:gridSpan w:val="2"/>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3月底</w:t>
            </w:r>
          </w:p>
        </w:tc>
        <w:tc>
          <w:tcPr>
            <w:tcW w:w="1587"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6月底</w:t>
            </w:r>
          </w:p>
        </w:tc>
        <w:tc>
          <w:tcPr>
            <w:tcW w:w="130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10月底</w:t>
            </w:r>
          </w:p>
        </w:tc>
        <w:tc>
          <w:tcPr>
            <w:tcW w:w="2977" w:type="dxa"/>
            <w:gridSpan w:val="2"/>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rFonts w:hint="eastAsia" w:ascii="宋体" w:hAnsi="宋体" w:eastAsia="宋体" w:cs="宋体"/>
                <w:sz w:val="22"/>
                <w:szCs w:val="22"/>
              </w:rPr>
            </w:pPr>
          </w:p>
        </w:tc>
        <w:tc>
          <w:tcPr>
            <w:tcW w:w="2410" w:type="dxa"/>
            <w:gridSpan w:val="2"/>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25.00%</w:t>
            </w:r>
          </w:p>
        </w:tc>
        <w:tc>
          <w:tcPr>
            <w:tcW w:w="1587" w:type="dxa"/>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50.00%</w:t>
            </w:r>
          </w:p>
        </w:tc>
        <w:tc>
          <w:tcPr>
            <w:tcW w:w="1304" w:type="dxa"/>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绩效目标</w:t>
            </w:r>
          </w:p>
        </w:tc>
        <w:tc>
          <w:tcPr>
            <w:tcW w:w="8278" w:type="dxa"/>
            <w:gridSpan w:val="6"/>
            <w:tcBorders>
              <w:bottom w:val="nil"/>
            </w:tcBorders>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完善乡镇服务站制度，完成村街服务店建设，与县级平台做好对接，形成县、乡、村三级网络平台；做好三级网络平台工作人员培训工作，使工作人员熟练掌握交易流程和操作规范；做好宣传工作，让更多人了解、关注产权交易平台；鼓励、引导个人产权，规范农村集体产权、项目进入平台交易。</w:t>
            </w:r>
          </w:p>
        </w:tc>
      </w:tr>
    </w:tbl>
    <w:p>
      <w:pPr>
        <w:spacing w:line="14" w:lineRule="exact"/>
        <w:jc w:val="center"/>
        <w:rPr>
          <w:rFonts w:hint="eastAsia" w:ascii="宋体" w:hAnsi="宋体" w:eastAsia="宋体" w:cs="宋体"/>
          <w:sz w:val="22"/>
          <w:szCs w:val="22"/>
        </w:rPr>
      </w:pPr>
      <w:r>
        <w:rPr>
          <w:rFonts w:hint="eastAsia" w:ascii="宋体" w:hAnsi="宋体" w:eastAsia="宋体" w:cs="宋体"/>
          <w:sz w:val="22"/>
          <w:szCs w:val="22"/>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一级指标</w:t>
            </w:r>
          </w:p>
        </w:tc>
        <w:tc>
          <w:tcPr>
            <w:tcW w:w="1134"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二级指标</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三级指标</w:t>
            </w:r>
          </w:p>
        </w:tc>
        <w:tc>
          <w:tcPr>
            <w:tcW w:w="2891"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绩效指标描述</w:t>
            </w:r>
          </w:p>
        </w:tc>
        <w:tc>
          <w:tcPr>
            <w:tcW w:w="1276"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w:t>
            </w:r>
          </w:p>
        </w:tc>
        <w:tc>
          <w:tcPr>
            <w:tcW w:w="1701" w:type="dxa"/>
            <w:shd w:val="clear" w:color="auto" w:fill="auto"/>
            <w:noWrap w:val="0"/>
            <w:vAlign w:val="center"/>
          </w:tcPr>
          <w:p>
            <w:pPr>
              <w:spacing w:line="300" w:lineRule="exact"/>
              <w:jc w:val="center"/>
              <w:rPr>
                <w:rFonts w:hint="eastAsia" w:ascii="宋体" w:hAnsi="宋体" w:eastAsia="宋体" w:cs="宋体"/>
                <w:b/>
                <w:sz w:val="22"/>
                <w:szCs w:val="22"/>
              </w:rPr>
            </w:pPr>
            <w:r>
              <w:rPr>
                <w:rFonts w:hint="eastAsia" w:ascii="宋体" w:hAnsi="宋体" w:eastAsia="宋体" w:cs="宋体"/>
                <w:b/>
                <w:sz w:val="22"/>
                <w:szCs w:val="2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产出指标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村级服务点建设</w:t>
            </w:r>
          </w:p>
          <w:p>
            <w:pPr>
              <w:spacing w:line="300" w:lineRule="exact"/>
              <w:jc w:val="left"/>
              <w:rPr>
                <w:rFonts w:hint="eastAsia" w:ascii="宋体" w:hAnsi="宋体" w:eastAsia="宋体" w:cs="宋体"/>
                <w:sz w:val="22"/>
                <w:szCs w:val="22"/>
              </w:rPr>
            </w:pP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完成全市所有村街服务点建设</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383个</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完成总量</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在产权交易中心挂牌交易、签证的金额</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≥50万元</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数量指标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举办培训</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市、乡、村三级产权工作人员业务知识培训</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1次</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质量指标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宣传覆盖率</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实际宣传村街占全市村街比例</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时效指标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各项工作按时完成率</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各项工作按时完成率</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成本指标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村级服务点建设费</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完成全市所有村街服务点建设总费用</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≥6万元</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效益指标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经济效益指标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整合村级土地资源</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通过产权交易整合村级零散土地，形成规模化</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≥50亩</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sz w:val="22"/>
                <w:szCs w:val="22"/>
              </w:rPr>
            </w:pP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可持续影响指标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平台持续发挥作用时间</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平台持续发挥作用时间</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≥3年</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sz w:val="22"/>
                <w:szCs w:val="22"/>
              </w:rPr>
            </w:pPr>
            <w:r>
              <w:rPr>
                <w:rFonts w:hint="eastAsia" w:ascii="宋体" w:hAnsi="宋体" w:eastAsia="宋体" w:cs="宋体"/>
                <w:sz w:val="22"/>
                <w:szCs w:val="22"/>
              </w:rPr>
              <w:t>满意度指标</w:t>
            </w:r>
          </w:p>
        </w:tc>
        <w:tc>
          <w:tcPr>
            <w:tcW w:w="1134"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服务对象满意度指标</w:t>
            </w: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群众满意率</w:t>
            </w:r>
          </w:p>
        </w:tc>
        <w:tc>
          <w:tcPr>
            <w:tcW w:w="289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群众满意人数占全部调查人数的比例</w:t>
            </w:r>
            <w:r>
              <w:rPr>
                <w:rFonts w:hint="eastAsia" w:ascii="宋体" w:hAnsi="宋体" w:eastAsia="宋体" w:cs="宋体"/>
                <w:sz w:val="22"/>
                <w:szCs w:val="22"/>
              </w:rPr>
              <w:tab/>
            </w:r>
            <w:r>
              <w:rPr>
                <w:rFonts w:hint="eastAsia" w:ascii="宋体" w:hAnsi="宋体" w:eastAsia="宋体" w:cs="宋体"/>
                <w:sz w:val="22"/>
                <w:szCs w:val="22"/>
              </w:rPr>
              <w:tab/>
            </w:r>
          </w:p>
          <w:p>
            <w:pPr>
              <w:spacing w:line="300" w:lineRule="exact"/>
              <w:jc w:val="left"/>
              <w:rPr>
                <w:rFonts w:hint="eastAsia" w:ascii="宋体" w:hAnsi="宋体" w:eastAsia="宋体" w:cs="宋体"/>
                <w:sz w:val="22"/>
                <w:szCs w:val="22"/>
              </w:rPr>
            </w:pPr>
          </w:p>
        </w:tc>
        <w:tc>
          <w:tcPr>
            <w:tcW w:w="1276"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≥90%</w:t>
            </w:r>
          </w:p>
        </w:tc>
        <w:tc>
          <w:tcPr>
            <w:tcW w:w="1701" w:type="dxa"/>
            <w:shd w:val="clear" w:color="auto" w:fill="auto"/>
            <w:noWrap w:val="0"/>
            <w:vAlign w:val="center"/>
          </w:tcPr>
          <w:p>
            <w:pPr>
              <w:spacing w:line="300" w:lineRule="exact"/>
              <w:jc w:val="left"/>
              <w:rPr>
                <w:rFonts w:hint="eastAsia" w:ascii="宋体" w:hAnsi="宋体" w:eastAsia="宋体" w:cs="宋体"/>
                <w:sz w:val="22"/>
                <w:szCs w:val="22"/>
              </w:rPr>
            </w:pPr>
            <w:r>
              <w:rPr>
                <w:rFonts w:hint="eastAsia" w:ascii="宋体" w:hAnsi="宋体" w:eastAsia="宋体" w:cs="宋体"/>
                <w:sz w:val="22"/>
                <w:szCs w:val="22"/>
              </w:rPr>
              <w:t>计划标准</w:t>
            </w:r>
          </w:p>
        </w:tc>
      </w:tr>
    </w:tbl>
    <w:p>
      <w:pPr>
        <w:spacing w:line="300" w:lineRule="exact"/>
        <w:jc w:val="left"/>
        <w:rPr>
          <w:rFonts w:hint="eastAsia" w:ascii="宋体" w:hAnsi="宋体" w:eastAsia="宋体" w:cs="宋体"/>
          <w:sz w:val="22"/>
          <w:szCs w:val="22"/>
        </w:rPr>
        <w:sectPr>
          <w:pgSz w:w="16839" w:h="11907" w:orient="landscape"/>
          <w:pgMar w:top="1304" w:right="1984" w:bottom="1304" w:left="1134" w:header="851" w:footer="992" w:gutter="0"/>
          <w:cols w:space="0" w:num="1"/>
          <w:rtlGutter w:val="0"/>
          <w:docGrid w:type="lines" w:linePitch="320" w:charSpace="0"/>
        </w:sectPr>
      </w:pPr>
    </w:p>
    <w:p>
      <w:pPr>
        <w:keepNext w:val="0"/>
        <w:keepLines w:val="0"/>
        <w:widowControl/>
        <w:suppressLineNumbers w:val="0"/>
        <w:ind w:firstLine="560" w:firstLineChars="200"/>
        <w:jc w:val="left"/>
        <w:rPr>
          <w:rFonts w:hint="eastAsia" w:ascii="方正仿宋_GBK" w:eastAsia="方正仿宋_GBK"/>
          <w:b/>
          <w:sz w:val="28"/>
          <w:lang w:val="en-US" w:eastAsia="zh-CN"/>
        </w:rPr>
      </w:pPr>
    </w:p>
    <w:p>
      <w:pPr>
        <w:spacing w:line="300" w:lineRule="exact"/>
        <w:jc w:val="center"/>
        <w:rPr>
          <w:rFonts w:hint="eastAsia" w:ascii="方正书宋_GBK" w:eastAsia="方正书宋_GBK"/>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仿宋" w:hAnsi="仿宋" w:eastAsia="仿宋" w:cs="仿宋"/>
          <w:sz w:val="32"/>
          <w:szCs w:val="32"/>
          <w:lang w:val="en-US" w:eastAsia="zh-CN"/>
        </w:rPr>
      </w:pPr>
      <w:bookmarkStart w:id="6" w:name="_Toc471398468"/>
      <w:r>
        <w:rPr>
          <w:rFonts w:hint="eastAsia" w:ascii="仿宋" w:hAnsi="仿宋" w:eastAsia="仿宋" w:cs="仿宋"/>
          <w:sz w:val="32"/>
          <w:szCs w:val="32"/>
          <w:lang w:val="en-US" w:eastAsia="zh-CN"/>
        </w:rPr>
        <w:t>2021</w:t>
      </w:r>
      <w:r>
        <w:rPr>
          <w:rFonts w:hint="eastAsia" w:ascii="仿宋" w:hAnsi="仿宋" w:eastAsia="仿宋" w:cs="仿宋"/>
          <w:sz w:val="32"/>
          <w:szCs w:val="32"/>
        </w:rPr>
        <w:t>年，我</w:t>
      </w:r>
      <w:r>
        <w:rPr>
          <w:rFonts w:hint="eastAsia" w:ascii="仿宋" w:hAnsi="仿宋" w:eastAsia="仿宋" w:cs="仿宋"/>
          <w:sz w:val="32"/>
          <w:szCs w:val="32"/>
          <w:lang w:val="en-US" w:eastAsia="zh-CN"/>
        </w:rPr>
        <w:t>部门</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51</w:t>
      </w:r>
      <w:r>
        <w:rPr>
          <w:rFonts w:hint="eastAsia" w:ascii="仿宋" w:hAnsi="仿宋" w:eastAsia="仿宋" w:cs="仿宋"/>
          <w:sz w:val="32"/>
          <w:szCs w:val="32"/>
        </w:rPr>
        <w:t>万元</w:t>
      </w:r>
      <w:r>
        <w:rPr>
          <w:rFonts w:hint="eastAsia" w:ascii="仿宋" w:hAnsi="仿宋" w:eastAsia="仿宋" w:cs="仿宋"/>
          <w:b/>
          <w:bCs/>
          <w:sz w:val="32"/>
          <w:szCs w:val="24"/>
        </w:rPr>
        <w:t>。</w:t>
      </w:r>
      <w:r>
        <w:rPr>
          <w:rFonts w:hint="eastAsia" w:ascii="仿宋" w:hAnsi="仿宋" w:eastAsia="仿宋" w:cs="仿宋"/>
          <w:sz w:val="32"/>
          <w:szCs w:val="32"/>
          <w:lang w:val="en-US" w:eastAsia="zh-CN"/>
        </w:rPr>
        <w:t>具体内容见下表。</w:t>
      </w:r>
    </w:p>
    <w:p>
      <w:pPr>
        <w:jc w:val="center"/>
        <w:outlineLvl w:val="0"/>
        <w:rPr>
          <w:rFonts w:hint="eastAsia"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6"/>
    </w:p>
    <w:p>
      <w:pPr>
        <w:jc w:val="both"/>
        <w:outlineLvl w:val="0"/>
        <w:rPr>
          <w:rFonts w:hint="default" w:ascii="方正小标宋_GBK" w:hAnsi="Times New Roman" w:eastAsia="方正小标宋_GBK" w:cs="Times New Roman"/>
          <w:sz w:val="32"/>
          <w:szCs w:val="24"/>
          <w:lang w:val="en-US" w:eastAsia="zh-CN"/>
        </w:rPr>
      </w:pPr>
      <w:r>
        <w:rPr>
          <w:rFonts w:hint="eastAsia" w:ascii="方正小标宋_GBK" w:hAnsi="Times New Roman" w:eastAsia="方正小标宋_GBK" w:cs="Times New Roman"/>
          <w:sz w:val="24"/>
          <w:szCs w:val="24"/>
          <w:lang w:val="en-US" w:eastAsia="zh-CN"/>
        </w:rPr>
        <w:t xml:space="preserve">907霸州市供销社                                                                                           </w:t>
      </w:r>
      <w:r>
        <w:rPr>
          <w:rFonts w:hint="eastAsia" w:ascii="方正小标宋_GBK" w:hAnsi="Times New Roman" w:eastAsia="方正小标宋_GBK" w:cs="Times New Roman"/>
          <w:sz w:val="18"/>
          <w:szCs w:val="18"/>
          <w:lang w:val="en-US" w:eastAsia="zh-CN"/>
        </w:rPr>
        <w:t>单位：万元</w:t>
      </w:r>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1081"/>
        <w:gridCol w:w="1196"/>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108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19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1081" w:type="dxa"/>
            <w:vMerge w:val="continue"/>
            <w:shd w:val="clear" w:color="auto" w:fill="auto"/>
            <w:vAlign w:val="center"/>
          </w:tcPr>
          <w:p>
            <w:pPr>
              <w:rPr>
                <w:rFonts w:ascii="Times New Roman" w:hAnsi="Times New Roman" w:eastAsia="宋体" w:cs="Times New Roman"/>
                <w:szCs w:val="24"/>
              </w:rPr>
            </w:pPr>
          </w:p>
        </w:tc>
        <w:tc>
          <w:tcPr>
            <w:tcW w:w="1196"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ind w:left="630" w:hanging="630" w:hangingChars="300"/>
              <w:jc w:val="center"/>
              <w:rPr>
                <w:rFonts w:hint="eastAsia" w:ascii="方正书宋_GBK" w:eastAsia="方正书宋_GBK"/>
              </w:rPr>
            </w:pPr>
            <w:r>
              <w:rPr>
                <w:rFonts w:hint="eastAsia" w:ascii="方正书宋_GBK" w:eastAsia="方正书宋_GBK"/>
              </w:rPr>
              <w:t>合  计</w:t>
            </w:r>
          </w:p>
        </w:tc>
        <w:tc>
          <w:tcPr>
            <w:tcW w:w="1258" w:type="dxa"/>
            <w:shd w:val="clear" w:color="auto" w:fill="auto"/>
            <w:vAlign w:val="center"/>
          </w:tcPr>
          <w:p>
            <w:pPr>
              <w:spacing w:line="300" w:lineRule="exact"/>
              <w:ind w:left="630" w:hanging="630" w:hangingChars="300"/>
              <w:jc w:val="center"/>
              <w:rPr>
                <w:rFonts w:hint="eastAsia" w:ascii="方正书宋_GBK" w:eastAsia="方正书宋_GBK"/>
              </w:rPr>
            </w:pPr>
          </w:p>
        </w:tc>
        <w:tc>
          <w:tcPr>
            <w:tcW w:w="1081" w:type="dxa"/>
            <w:shd w:val="clear" w:color="auto" w:fill="auto"/>
            <w:vAlign w:val="center"/>
          </w:tcPr>
          <w:p>
            <w:pPr>
              <w:spacing w:line="300" w:lineRule="exact"/>
              <w:ind w:left="630" w:hanging="630" w:hangingChars="300"/>
              <w:jc w:val="center"/>
              <w:rPr>
                <w:rFonts w:hint="eastAsia" w:ascii="方正书宋_GBK" w:eastAsia="方正书宋_GBK"/>
              </w:rPr>
            </w:pPr>
          </w:p>
        </w:tc>
        <w:tc>
          <w:tcPr>
            <w:tcW w:w="1196" w:type="dxa"/>
            <w:shd w:val="clear" w:color="auto" w:fill="auto"/>
            <w:vAlign w:val="center"/>
          </w:tcPr>
          <w:p>
            <w:pPr>
              <w:spacing w:line="300" w:lineRule="exact"/>
              <w:ind w:left="630" w:hanging="630" w:hangingChars="300"/>
              <w:jc w:val="center"/>
              <w:rPr>
                <w:rFonts w:hint="eastAsia" w:ascii="方正书宋_GBK" w:eastAsia="方正书宋_GBK"/>
              </w:rPr>
            </w:pPr>
          </w:p>
        </w:tc>
        <w:tc>
          <w:tcPr>
            <w:tcW w:w="878" w:type="dxa"/>
            <w:shd w:val="clear" w:color="auto" w:fill="auto"/>
            <w:vAlign w:val="center"/>
          </w:tcPr>
          <w:p>
            <w:pPr>
              <w:spacing w:line="300" w:lineRule="exact"/>
              <w:ind w:left="630" w:hanging="630" w:hangingChars="300"/>
              <w:jc w:val="center"/>
              <w:rPr>
                <w:rFonts w:hint="eastAsia" w:ascii="方正书宋_GBK" w:eastAsia="方正书宋_GBK"/>
              </w:rPr>
            </w:pPr>
          </w:p>
        </w:tc>
        <w:tc>
          <w:tcPr>
            <w:tcW w:w="878" w:type="dxa"/>
            <w:shd w:val="clear" w:color="auto" w:fill="auto"/>
            <w:vAlign w:val="center"/>
          </w:tcPr>
          <w:p>
            <w:pPr>
              <w:spacing w:line="300" w:lineRule="exact"/>
              <w:ind w:left="630" w:hanging="630" w:hangingChars="300"/>
              <w:jc w:val="center"/>
              <w:rPr>
                <w:rFonts w:hint="eastAsia" w:ascii="方正书宋_GBK" w:eastAsia="方正书宋_GBK"/>
              </w:rPr>
            </w:pPr>
          </w:p>
        </w:tc>
        <w:tc>
          <w:tcPr>
            <w:tcW w:w="904" w:type="dxa"/>
            <w:shd w:val="clear" w:color="auto" w:fill="auto"/>
            <w:vAlign w:val="center"/>
          </w:tcPr>
          <w:p>
            <w:pPr>
              <w:spacing w:line="300" w:lineRule="exact"/>
              <w:ind w:left="630" w:hanging="630" w:hangingChars="300"/>
              <w:jc w:val="center"/>
              <w:rPr>
                <w:rFonts w:hint="eastAsia" w:ascii="方正书宋_GBK" w:eastAsia="方正书宋_GBK"/>
                <w:lang w:val="en-US" w:eastAsia="zh-CN"/>
              </w:rPr>
            </w:pPr>
          </w:p>
        </w:tc>
        <w:tc>
          <w:tcPr>
            <w:tcW w:w="961" w:type="dxa"/>
            <w:shd w:val="clear" w:color="auto" w:fill="auto"/>
            <w:vAlign w:val="center"/>
          </w:tcPr>
          <w:p>
            <w:pPr>
              <w:spacing w:line="300" w:lineRule="exact"/>
              <w:ind w:left="630" w:hanging="630" w:hangingChars="300"/>
              <w:jc w:val="center"/>
              <w:rPr>
                <w:rFonts w:hint="eastAsia" w:ascii="方正书宋_GBK" w:eastAsia="方正书宋_GBK"/>
                <w:lang w:val="en-US" w:eastAsia="zh-CN"/>
              </w:rPr>
            </w:pPr>
            <w:r>
              <w:rPr>
                <w:rFonts w:hint="eastAsia" w:ascii="方正书宋_GBK" w:eastAsia="方正书宋_GBK"/>
                <w:lang w:val="en-US" w:eastAsia="zh-CN"/>
              </w:rPr>
              <w:t>51.00</w:t>
            </w:r>
          </w:p>
        </w:tc>
        <w:tc>
          <w:tcPr>
            <w:tcW w:w="961" w:type="dxa"/>
            <w:shd w:val="clear" w:color="auto" w:fill="auto"/>
            <w:vAlign w:val="center"/>
          </w:tcPr>
          <w:p>
            <w:pPr>
              <w:spacing w:line="300" w:lineRule="exact"/>
              <w:ind w:left="630" w:hanging="630" w:hangingChars="300"/>
              <w:jc w:val="center"/>
              <w:rPr>
                <w:rFonts w:hint="eastAsia" w:ascii="方正书宋_GBK" w:eastAsia="方正书宋_GBK"/>
                <w:lang w:val="en-US" w:eastAsia="zh-CN"/>
              </w:rPr>
            </w:pPr>
            <w:r>
              <w:rPr>
                <w:rFonts w:hint="eastAsia" w:ascii="方正书宋_GBK" w:eastAsia="方正书宋_GBK"/>
                <w:lang w:val="en-US" w:eastAsia="zh-CN"/>
              </w:rPr>
              <w:t>51.00</w:t>
            </w:r>
          </w:p>
        </w:tc>
        <w:tc>
          <w:tcPr>
            <w:tcW w:w="961" w:type="dxa"/>
            <w:shd w:val="clear" w:color="auto" w:fill="auto"/>
            <w:vAlign w:val="center"/>
          </w:tcPr>
          <w:p>
            <w:pPr>
              <w:spacing w:line="300" w:lineRule="exact"/>
              <w:jc w:val="right"/>
              <w:rPr>
                <w:rFonts w:hint="eastAsia" w:ascii="宋体" w:hAnsi="宋体" w:eastAsia="宋体" w:cs="宋体"/>
                <w:b w:val="0"/>
                <w:bCs/>
                <w:szCs w:val="24"/>
              </w:rPr>
            </w:pPr>
          </w:p>
        </w:tc>
        <w:tc>
          <w:tcPr>
            <w:tcW w:w="961" w:type="dxa"/>
            <w:shd w:val="clear" w:color="auto" w:fill="auto"/>
            <w:vAlign w:val="center"/>
          </w:tcPr>
          <w:p>
            <w:pPr>
              <w:spacing w:line="300" w:lineRule="exact"/>
              <w:jc w:val="right"/>
              <w:rPr>
                <w:rFonts w:hint="eastAsia" w:ascii="宋体" w:hAnsi="宋体" w:eastAsia="宋体" w:cs="宋体"/>
                <w:b w:val="0"/>
                <w:bCs/>
                <w:szCs w:val="24"/>
              </w:rPr>
            </w:pPr>
          </w:p>
        </w:tc>
        <w:tc>
          <w:tcPr>
            <w:tcW w:w="962" w:type="dxa"/>
            <w:shd w:val="clear" w:color="auto" w:fill="auto"/>
            <w:vAlign w:val="center"/>
          </w:tcPr>
          <w:p>
            <w:pPr>
              <w:spacing w:line="300" w:lineRule="exact"/>
              <w:jc w:val="right"/>
              <w:rPr>
                <w:rFonts w:hint="eastAsia" w:ascii="宋体" w:hAnsi="宋体" w:eastAsia="宋体" w:cs="宋体"/>
                <w:b w:val="0"/>
                <w:bCs/>
                <w:szCs w:val="24"/>
              </w:rPr>
            </w:pPr>
          </w:p>
        </w:tc>
        <w:tc>
          <w:tcPr>
            <w:tcW w:w="962" w:type="dxa"/>
            <w:shd w:val="clear" w:color="auto" w:fill="auto"/>
            <w:vAlign w:val="center"/>
          </w:tcPr>
          <w:p>
            <w:pPr>
              <w:spacing w:line="300" w:lineRule="exact"/>
              <w:jc w:val="right"/>
              <w:rPr>
                <w:rFonts w:hint="eastAsia" w:ascii="宋体" w:hAnsi="宋体" w:eastAsia="宋体" w:cs="宋体"/>
                <w:b w:val="0"/>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top"/>
          </w:tcPr>
          <w:p>
            <w:pPr>
              <w:spacing w:line="300" w:lineRule="exact"/>
              <w:ind w:left="630" w:hanging="630" w:hangingChars="300"/>
              <w:jc w:val="both"/>
              <w:rPr>
                <w:rFonts w:hint="eastAsia" w:ascii="方正书宋_GBK" w:eastAsia="方正书宋_GBK"/>
                <w:lang w:val="en-US" w:eastAsia="zh-CN"/>
              </w:rPr>
            </w:pPr>
            <w:r>
              <w:rPr>
                <w:rFonts w:hint="eastAsia" w:ascii="方正书宋_GBK" w:eastAsia="方正书宋_GBK"/>
                <w:lang w:val="en-US" w:eastAsia="zh-CN"/>
              </w:rPr>
              <w:t>霸州市农村产权交易</w:t>
            </w:r>
          </w:p>
          <w:p>
            <w:pPr>
              <w:spacing w:line="300" w:lineRule="exact"/>
              <w:ind w:left="630" w:leftChars="200" w:hanging="210" w:hangingChars="100"/>
              <w:jc w:val="both"/>
              <w:rPr>
                <w:rFonts w:hint="default" w:ascii="方正书宋_GBK" w:eastAsia="方正书宋_GBK"/>
                <w:lang w:val="en-US" w:eastAsia="zh-CN"/>
              </w:rPr>
            </w:pPr>
            <w:r>
              <w:rPr>
                <w:rFonts w:hint="eastAsia" w:ascii="方正书宋_GBK" w:eastAsia="方正书宋_GBK"/>
                <w:lang w:val="en-US" w:eastAsia="zh-CN"/>
              </w:rPr>
              <w:t>中心运转经费</w:t>
            </w:r>
          </w:p>
        </w:tc>
        <w:tc>
          <w:tcPr>
            <w:tcW w:w="1258" w:type="dxa"/>
            <w:shd w:val="clear" w:color="auto" w:fill="auto"/>
            <w:vAlign w:val="center"/>
          </w:tcPr>
          <w:p>
            <w:pPr>
              <w:spacing w:line="300" w:lineRule="exact"/>
              <w:ind w:left="630" w:hanging="630" w:hangingChars="300"/>
              <w:jc w:val="center"/>
              <w:rPr>
                <w:rFonts w:hint="eastAsia" w:ascii="方正书宋_GBK" w:eastAsia="方正书宋_GBK"/>
                <w:lang w:val="en-US" w:eastAsia="zh-CN"/>
              </w:rPr>
            </w:pPr>
            <w:r>
              <w:rPr>
                <w:rFonts w:hint="eastAsia" w:ascii="方正书宋_GBK" w:eastAsia="方正书宋_GBK"/>
                <w:lang w:val="en-US" w:eastAsia="zh-CN"/>
              </w:rPr>
              <w:t>51.00</w:t>
            </w:r>
          </w:p>
        </w:tc>
        <w:tc>
          <w:tcPr>
            <w:tcW w:w="1081" w:type="dxa"/>
            <w:shd w:val="clear" w:color="auto" w:fill="auto"/>
            <w:vAlign w:val="top"/>
          </w:tcPr>
          <w:p>
            <w:pPr>
              <w:spacing w:line="300" w:lineRule="exact"/>
              <w:ind w:left="630" w:hanging="630" w:hangingChars="300"/>
              <w:jc w:val="center"/>
              <w:rPr>
                <w:rFonts w:hint="eastAsia" w:ascii="方正书宋_GBK" w:eastAsia="方正书宋_GBK"/>
                <w:highlight w:val="none"/>
                <w:lang w:val="en-US" w:eastAsia="zh-CN"/>
              </w:rPr>
            </w:pPr>
            <w:r>
              <w:rPr>
                <w:rFonts w:hint="eastAsia" w:ascii="方正书宋_GBK" w:eastAsia="方正书宋_GBK"/>
                <w:highlight w:val="none"/>
                <w:lang w:val="en-US" w:eastAsia="zh-CN"/>
              </w:rPr>
              <w:t>其他运营</w:t>
            </w:r>
          </w:p>
          <w:p>
            <w:pPr>
              <w:spacing w:line="300" w:lineRule="exact"/>
              <w:ind w:left="630" w:leftChars="100" w:hanging="420" w:hangingChars="200"/>
              <w:jc w:val="both"/>
              <w:rPr>
                <w:rFonts w:hint="default" w:ascii="方正书宋_GBK" w:eastAsia="方正书宋_GBK"/>
                <w:highlight w:val="none"/>
                <w:lang w:val="en-US" w:eastAsia="zh-CN"/>
              </w:rPr>
            </w:pPr>
            <w:r>
              <w:rPr>
                <w:rFonts w:hint="eastAsia" w:ascii="方正书宋_GBK" w:eastAsia="方正书宋_GBK"/>
                <w:highlight w:val="none"/>
                <w:lang w:val="en-US" w:eastAsia="zh-CN"/>
              </w:rPr>
              <w:t>服务</w:t>
            </w:r>
          </w:p>
        </w:tc>
        <w:tc>
          <w:tcPr>
            <w:tcW w:w="1196" w:type="dxa"/>
            <w:shd w:val="clear" w:color="auto" w:fill="auto"/>
            <w:vAlign w:val="top"/>
          </w:tcPr>
          <w:p>
            <w:pPr>
              <w:spacing w:line="300" w:lineRule="exact"/>
              <w:ind w:left="630" w:hanging="630" w:hangingChars="300"/>
              <w:jc w:val="both"/>
              <w:rPr>
                <w:rFonts w:hint="default" w:ascii="方正书宋_GBK" w:eastAsia="方正书宋_GBK"/>
                <w:highlight w:val="red"/>
                <w:lang w:val="en-US" w:eastAsia="zh-CN"/>
              </w:rPr>
            </w:pPr>
            <w:r>
              <w:rPr>
                <w:rFonts w:hint="eastAsia" w:ascii="方正书宋_GBK" w:eastAsia="方正书宋_GBK"/>
                <w:highlight w:val="none"/>
                <w:lang w:val="en-US" w:eastAsia="zh-CN"/>
              </w:rPr>
              <w:t>C020799</w:t>
            </w:r>
          </w:p>
        </w:tc>
        <w:tc>
          <w:tcPr>
            <w:tcW w:w="878" w:type="dxa"/>
            <w:shd w:val="clear" w:color="auto" w:fill="auto"/>
            <w:vAlign w:val="center"/>
          </w:tcPr>
          <w:p>
            <w:pPr>
              <w:spacing w:line="300" w:lineRule="exact"/>
              <w:ind w:left="630" w:hanging="630" w:hangingChars="300"/>
              <w:jc w:val="center"/>
              <w:rPr>
                <w:rFonts w:hint="eastAsia" w:ascii="方正书宋_GBK" w:eastAsia="方正书宋_GBK"/>
              </w:rPr>
            </w:pPr>
          </w:p>
        </w:tc>
        <w:tc>
          <w:tcPr>
            <w:tcW w:w="878" w:type="dxa"/>
            <w:shd w:val="clear" w:color="auto" w:fill="auto"/>
            <w:vAlign w:val="center"/>
          </w:tcPr>
          <w:p>
            <w:pPr>
              <w:spacing w:line="300" w:lineRule="exact"/>
              <w:ind w:left="630" w:hanging="630" w:hangingChars="300"/>
              <w:jc w:val="center"/>
              <w:rPr>
                <w:rFonts w:hint="eastAsia" w:ascii="方正书宋_GBK" w:eastAsia="方正书宋_GBK"/>
                <w:lang w:val="en-US" w:eastAsia="zh-CN"/>
              </w:rPr>
            </w:pPr>
            <w:r>
              <w:rPr>
                <w:rFonts w:hint="eastAsia" w:ascii="方正书宋_GBK" w:eastAsia="方正书宋_GBK"/>
                <w:lang w:val="en-US" w:eastAsia="zh-CN"/>
              </w:rPr>
              <w:t>1</w:t>
            </w:r>
          </w:p>
        </w:tc>
        <w:tc>
          <w:tcPr>
            <w:tcW w:w="904" w:type="dxa"/>
            <w:shd w:val="clear" w:color="auto" w:fill="auto"/>
            <w:vAlign w:val="center"/>
          </w:tcPr>
          <w:p>
            <w:pPr>
              <w:spacing w:line="300" w:lineRule="exact"/>
              <w:ind w:left="630" w:hanging="630" w:hangingChars="300"/>
              <w:jc w:val="center"/>
              <w:rPr>
                <w:rFonts w:hint="eastAsia" w:ascii="方正书宋_GBK" w:eastAsia="方正书宋_GBK"/>
                <w:lang w:val="en-US" w:eastAsia="zh-CN"/>
              </w:rPr>
            </w:pPr>
            <w:r>
              <w:rPr>
                <w:rFonts w:hint="eastAsia" w:ascii="方正书宋_GBK" w:eastAsia="方正书宋_GBK"/>
                <w:lang w:val="en-US" w:eastAsia="zh-CN"/>
              </w:rPr>
              <w:t>51.00</w:t>
            </w:r>
          </w:p>
        </w:tc>
        <w:tc>
          <w:tcPr>
            <w:tcW w:w="961" w:type="dxa"/>
            <w:shd w:val="clear" w:color="auto" w:fill="auto"/>
            <w:vAlign w:val="center"/>
          </w:tcPr>
          <w:p>
            <w:pPr>
              <w:spacing w:line="300" w:lineRule="exact"/>
              <w:ind w:left="630" w:hanging="630" w:hangingChars="300"/>
              <w:jc w:val="center"/>
              <w:rPr>
                <w:rFonts w:hint="eastAsia" w:ascii="方正书宋_GBK" w:eastAsia="方正书宋_GBK"/>
                <w:lang w:val="en-US" w:eastAsia="zh-CN"/>
              </w:rPr>
            </w:pPr>
            <w:r>
              <w:rPr>
                <w:rFonts w:hint="eastAsia" w:ascii="方正书宋_GBK" w:eastAsia="方正书宋_GBK"/>
                <w:lang w:val="en-US" w:eastAsia="zh-CN"/>
              </w:rPr>
              <w:t>51.00</w:t>
            </w:r>
          </w:p>
        </w:tc>
        <w:tc>
          <w:tcPr>
            <w:tcW w:w="961" w:type="dxa"/>
            <w:shd w:val="clear" w:color="auto" w:fill="auto"/>
            <w:vAlign w:val="center"/>
          </w:tcPr>
          <w:p>
            <w:pPr>
              <w:spacing w:line="300" w:lineRule="exact"/>
              <w:ind w:left="630" w:hanging="630" w:hangingChars="300"/>
              <w:jc w:val="center"/>
              <w:rPr>
                <w:rFonts w:hint="eastAsia" w:ascii="方正书宋_GBK" w:eastAsia="方正书宋_GBK"/>
                <w:lang w:val="en-US" w:eastAsia="zh-CN"/>
              </w:rPr>
            </w:pPr>
            <w:r>
              <w:rPr>
                <w:rFonts w:hint="eastAsia" w:ascii="方正书宋_GBK" w:eastAsia="方正书宋_GBK"/>
                <w:lang w:val="en-US" w:eastAsia="zh-CN"/>
              </w:rPr>
              <w:t>51.00</w:t>
            </w:r>
          </w:p>
        </w:tc>
        <w:tc>
          <w:tcPr>
            <w:tcW w:w="961" w:type="dxa"/>
            <w:shd w:val="clear" w:color="auto" w:fill="auto"/>
            <w:vAlign w:val="center"/>
          </w:tcPr>
          <w:p>
            <w:pPr>
              <w:spacing w:line="300" w:lineRule="exact"/>
              <w:jc w:val="right"/>
              <w:rPr>
                <w:rFonts w:hint="eastAsia" w:ascii="宋体" w:hAnsi="宋体" w:eastAsia="宋体" w:cs="宋体"/>
                <w:b w:val="0"/>
                <w:bCs/>
                <w:szCs w:val="24"/>
              </w:rPr>
            </w:pPr>
          </w:p>
        </w:tc>
        <w:tc>
          <w:tcPr>
            <w:tcW w:w="961" w:type="dxa"/>
            <w:shd w:val="clear" w:color="auto" w:fill="auto"/>
            <w:vAlign w:val="center"/>
          </w:tcPr>
          <w:p>
            <w:pPr>
              <w:spacing w:line="300" w:lineRule="exact"/>
              <w:jc w:val="right"/>
              <w:rPr>
                <w:rFonts w:hint="eastAsia" w:ascii="宋体" w:hAnsi="宋体" w:eastAsia="宋体" w:cs="宋体"/>
                <w:b w:val="0"/>
                <w:bCs/>
                <w:szCs w:val="24"/>
              </w:rPr>
            </w:pPr>
          </w:p>
        </w:tc>
        <w:tc>
          <w:tcPr>
            <w:tcW w:w="962" w:type="dxa"/>
            <w:shd w:val="clear" w:color="auto" w:fill="auto"/>
            <w:vAlign w:val="center"/>
          </w:tcPr>
          <w:p>
            <w:pPr>
              <w:spacing w:line="300" w:lineRule="exact"/>
              <w:jc w:val="right"/>
              <w:rPr>
                <w:rFonts w:hint="eastAsia" w:ascii="宋体" w:hAnsi="宋体" w:eastAsia="宋体" w:cs="宋体"/>
                <w:b w:val="0"/>
                <w:bCs/>
                <w:szCs w:val="24"/>
              </w:rPr>
            </w:pPr>
          </w:p>
        </w:tc>
        <w:tc>
          <w:tcPr>
            <w:tcW w:w="962" w:type="dxa"/>
            <w:shd w:val="clear" w:color="auto" w:fill="auto"/>
            <w:vAlign w:val="center"/>
          </w:tcPr>
          <w:p>
            <w:pPr>
              <w:spacing w:line="300" w:lineRule="exact"/>
              <w:jc w:val="right"/>
              <w:rPr>
                <w:rFonts w:hint="eastAsia" w:ascii="宋体" w:hAnsi="宋体" w:eastAsia="宋体" w:cs="宋体"/>
                <w:b w:val="0"/>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81" w:type="dxa"/>
            <w:shd w:val="clear" w:color="auto" w:fill="auto"/>
            <w:vAlign w:val="top"/>
          </w:tcPr>
          <w:p>
            <w:pPr>
              <w:spacing w:line="300" w:lineRule="exact"/>
              <w:jc w:val="center"/>
              <w:rPr>
                <w:rFonts w:ascii="方正书宋_GBK" w:hAnsi="Times New Roman" w:eastAsia="方正书宋_GBK" w:cs="Times New Roman"/>
                <w:b/>
                <w:szCs w:val="24"/>
              </w:rPr>
            </w:pPr>
          </w:p>
        </w:tc>
        <w:tc>
          <w:tcPr>
            <w:tcW w:w="1196"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p>
      <w:pPr>
        <w:jc w:val="center"/>
        <w:outlineLvl w:val="0"/>
        <w:rPr>
          <w:rFonts w:hint="default" w:ascii="方正小标宋_GBK" w:hAnsi="Times New Roman" w:eastAsia="方正小标宋_GBK" w:cs="Times New Roman"/>
          <w:sz w:val="32"/>
          <w:szCs w:val="24"/>
          <w:lang w:val="en-US"/>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供销合作社联合社</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万元（详见下表）。</w:t>
      </w:r>
      <w:r>
        <w:rPr>
          <w:rFonts w:hint="eastAsia" w:ascii="仿宋_GB2312" w:hAnsi="黑体" w:eastAsia="仿宋_GB2312" w:cs="Times New Roman"/>
          <w:sz w:val="32"/>
          <w:szCs w:val="32"/>
          <w:lang w:val="en-US" w:eastAsia="zh-CN"/>
        </w:rPr>
        <w:t>本年度我</w:t>
      </w:r>
      <w:r>
        <w:rPr>
          <w:rFonts w:hint="eastAsia" w:ascii="仿宋" w:hAnsi="仿宋" w:eastAsia="仿宋" w:cs="仿宋"/>
          <w:sz w:val="32"/>
          <w:szCs w:val="32"/>
        </w:rPr>
        <w:t>部门无新增固定资产计划。</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供销社</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907霸州市供销社</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是指各单位的公用经费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w:t>
      </w:r>
      <w:r>
        <w:rPr>
          <w:rFonts w:hint="eastAsia" w:ascii="仿宋_GB2312" w:hAnsi="黑体" w:eastAsia="仿宋_GB2312" w:cs="Times New Roman"/>
          <w:sz w:val="32"/>
          <w:szCs w:val="32"/>
          <w:lang w:val="en-US" w:eastAsia="zh-CN"/>
        </w:rPr>
        <w:t>项</w:t>
      </w:r>
      <w:r>
        <w:rPr>
          <w:rFonts w:hint="eastAsia" w:ascii="仿宋_GB2312" w:hAnsi="黑体" w:eastAsia="仿宋_GB2312" w:cs="Times New Roman"/>
          <w:sz w:val="32"/>
          <w:szCs w:val="32"/>
        </w:rPr>
        <w:t>。</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57D9E"/>
    <w:multiLevelType w:val="singleLevel"/>
    <w:tmpl w:val="85B57D9E"/>
    <w:lvl w:ilvl="0" w:tentative="0">
      <w:start w:val="7"/>
      <w:numFmt w:val="decimal"/>
      <w:suff w:val="nothing"/>
      <w:lvlText w:val="%1、"/>
      <w:lvlJc w:val="left"/>
    </w:lvl>
  </w:abstractNum>
  <w:abstractNum w:abstractNumId="1">
    <w:nsid w:val="97B66AEF"/>
    <w:multiLevelType w:val="singleLevel"/>
    <w:tmpl w:val="97B66AEF"/>
    <w:lvl w:ilvl="0" w:tentative="0">
      <w:start w:val="2"/>
      <w:numFmt w:val="chineseCounting"/>
      <w:suff w:val="space"/>
      <w:lvlText w:val="第%1部分"/>
      <w:lvlJc w:val="left"/>
      <w:rPr>
        <w:rFonts w:hint="eastAsia"/>
      </w:rPr>
    </w:lvl>
  </w:abstractNum>
  <w:abstractNum w:abstractNumId="2">
    <w:nsid w:val="A13F19D6"/>
    <w:multiLevelType w:val="singleLevel"/>
    <w:tmpl w:val="A13F19D6"/>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ljNWZiODU2YzEyYjllYzU2NjQ3MDE2Yzc4OGQ0ZTM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44825"/>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B53410"/>
    <w:rsid w:val="04DB23CB"/>
    <w:rsid w:val="11BF2068"/>
    <w:rsid w:val="15FB7DA6"/>
    <w:rsid w:val="1CA87F46"/>
    <w:rsid w:val="25311F94"/>
    <w:rsid w:val="388561C0"/>
    <w:rsid w:val="4AD472BE"/>
    <w:rsid w:val="51053033"/>
    <w:rsid w:val="58BA0FA3"/>
    <w:rsid w:val="5F563FA9"/>
    <w:rsid w:val="603D558C"/>
    <w:rsid w:val="7BCC113B"/>
    <w:rsid w:val="7C975E2D"/>
    <w:rsid w:val="7CB81638"/>
    <w:rsid w:val="7E3C5EBB"/>
    <w:rsid w:val="7F1212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6891</Words>
  <Characters>7474</Characters>
  <Lines>23</Lines>
  <Paragraphs>6</Paragraphs>
  <TotalTime>2</TotalTime>
  <ScaleCrop>false</ScaleCrop>
  <LinksUpToDate>false</LinksUpToDate>
  <CharactersWithSpaces>7727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Lenovo</cp:lastModifiedBy>
  <cp:lastPrinted>2018-02-28T01:51:00Z</cp:lastPrinted>
  <dcterms:modified xsi:type="dcterms:W3CDTF">2022-09-08T00:55:07Z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A282E17ADDD34D1892976A87A9BAE05D</vt:lpwstr>
  </property>
</Properties>
</file>